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AED9" w14:textId="589CA325" w:rsidR="008D6E67" w:rsidRDefault="00E43313">
      <w:pPr>
        <w:spacing w:after="0" w:line="259" w:lineRule="auto"/>
        <w:ind w:left="0" w:firstLine="0"/>
        <w:jc w:val="right"/>
      </w:pPr>
      <w:r>
        <w:rPr>
          <w:noProof/>
        </w:rPr>
        <w:drawing>
          <wp:inline distT="0" distB="0" distL="0" distR="0" wp14:anchorId="0C2BB922" wp14:editId="0469F60B">
            <wp:extent cx="990895" cy="1047750"/>
            <wp:effectExtent l="0" t="0" r="0" b="0"/>
            <wp:docPr id="1176495592" name="Picture 1176495592" descr="A black background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95592" name="Picture 1176495592" descr="A black background with leav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92807" cy="1049771"/>
                    </a:xfrm>
                    <a:prstGeom prst="rect">
                      <a:avLst/>
                    </a:prstGeom>
                  </pic:spPr>
                </pic:pic>
              </a:graphicData>
            </a:graphic>
          </wp:inline>
        </w:drawing>
      </w:r>
      <w:r w:rsidR="00EF0909">
        <w:t xml:space="preserve"> </w:t>
      </w:r>
    </w:p>
    <w:p w14:paraId="6D469139" w14:textId="77777777" w:rsidR="008D6E67" w:rsidRDefault="00EF0909">
      <w:pPr>
        <w:spacing w:after="0" w:line="259" w:lineRule="auto"/>
        <w:ind w:left="0" w:right="200" w:firstLine="0"/>
      </w:pPr>
      <w:r>
        <w:t xml:space="preserve"> </w:t>
      </w:r>
    </w:p>
    <w:tbl>
      <w:tblPr>
        <w:tblStyle w:val="TableGrid"/>
        <w:tblW w:w="9364" w:type="dxa"/>
        <w:jc w:val="center"/>
        <w:tblInd w:w="0" w:type="dxa"/>
        <w:tblCellMar>
          <w:top w:w="49" w:type="dxa"/>
          <w:left w:w="108" w:type="dxa"/>
          <w:right w:w="49" w:type="dxa"/>
        </w:tblCellMar>
        <w:tblLook w:val="04A0" w:firstRow="1" w:lastRow="0" w:firstColumn="1" w:lastColumn="0" w:noHBand="0" w:noVBand="1"/>
      </w:tblPr>
      <w:tblGrid>
        <w:gridCol w:w="7"/>
        <w:gridCol w:w="900"/>
        <w:gridCol w:w="2693"/>
        <w:gridCol w:w="5757"/>
        <w:gridCol w:w="7"/>
      </w:tblGrid>
      <w:tr w:rsidR="008D6E67" w14:paraId="35AF3CF3" w14:textId="77777777" w:rsidTr="009B0B98">
        <w:trPr>
          <w:trHeight w:val="264"/>
          <w:jc w:val="center"/>
        </w:trPr>
        <w:tc>
          <w:tcPr>
            <w:tcW w:w="9362" w:type="dxa"/>
            <w:gridSpan w:val="5"/>
            <w:tcBorders>
              <w:top w:val="nil"/>
              <w:left w:val="nil"/>
              <w:bottom w:val="nil"/>
              <w:right w:val="nil"/>
            </w:tcBorders>
            <w:shd w:val="clear" w:color="auto" w:fill="000000"/>
          </w:tcPr>
          <w:p w14:paraId="473E221B" w14:textId="77777777" w:rsidR="008D6E67" w:rsidRDefault="00EF0909">
            <w:pPr>
              <w:spacing w:after="0" w:line="259" w:lineRule="auto"/>
              <w:ind w:left="0" w:firstLine="0"/>
            </w:pPr>
            <w:r>
              <w:rPr>
                <w:b/>
                <w:color w:val="FFFFFF"/>
              </w:rPr>
              <w:t xml:space="preserve">SECTION A: THE ROLE </w:t>
            </w:r>
          </w:p>
        </w:tc>
      </w:tr>
      <w:tr w:rsidR="008D6E67" w14:paraId="6024C5F0" w14:textId="77777777" w:rsidTr="00923164">
        <w:trPr>
          <w:trHeight w:val="247"/>
          <w:jc w:val="center"/>
        </w:trPr>
        <w:tc>
          <w:tcPr>
            <w:tcW w:w="3600" w:type="dxa"/>
            <w:gridSpan w:val="3"/>
            <w:tcBorders>
              <w:top w:val="nil"/>
              <w:left w:val="single" w:sz="4" w:space="0" w:color="000000"/>
              <w:bottom w:val="single" w:sz="4" w:space="0" w:color="000000"/>
              <w:right w:val="single" w:sz="4" w:space="0" w:color="000000"/>
            </w:tcBorders>
            <w:shd w:val="clear" w:color="auto" w:fill="D9D9D9"/>
          </w:tcPr>
          <w:p w14:paraId="1EC219A2" w14:textId="528E05F6" w:rsidR="008D6E67" w:rsidRDefault="00EF0909" w:rsidP="00A807D4">
            <w:pPr>
              <w:spacing w:after="0" w:line="240" w:lineRule="auto"/>
              <w:ind w:left="0" w:firstLine="0"/>
              <w:contextualSpacing/>
            </w:pPr>
            <w:r>
              <w:rPr>
                <w:b/>
              </w:rPr>
              <w:t>Job Title:</w:t>
            </w:r>
          </w:p>
        </w:tc>
        <w:tc>
          <w:tcPr>
            <w:tcW w:w="5762" w:type="dxa"/>
            <w:gridSpan w:val="2"/>
            <w:tcBorders>
              <w:top w:val="nil"/>
              <w:left w:val="single" w:sz="4" w:space="0" w:color="000000"/>
              <w:bottom w:val="single" w:sz="4" w:space="0" w:color="000000"/>
              <w:right w:val="single" w:sz="4" w:space="0" w:color="000000"/>
            </w:tcBorders>
          </w:tcPr>
          <w:p w14:paraId="175E3026" w14:textId="2468DBEF" w:rsidR="008D6E67" w:rsidRDefault="00EF0909" w:rsidP="00A807D4">
            <w:pPr>
              <w:spacing w:after="0" w:line="240" w:lineRule="auto"/>
              <w:ind w:left="1" w:firstLine="0"/>
            </w:pPr>
            <w:r>
              <w:t>Student Engagement Co-</w:t>
            </w:r>
            <w:r w:rsidR="00892895">
              <w:t>ordinator</w:t>
            </w:r>
            <w:r w:rsidR="007A010D">
              <w:t xml:space="preserve"> </w:t>
            </w:r>
            <w:r w:rsidR="00DC47C3">
              <w:t>x 2</w:t>
            </w:r>
          </w:p>
          <w:p w14:paraId="1369E28C" w14:textId="77777777" w:rsidR="007A010D" w:rsidRDefault="007A010D" w:rsidP="00A807D4">
            <w:pPr>
              <w:spacing w:after="0" w:line="240" w:lineRule="auto"/>
              <w:ind w:left="1" w:firstLine="0"/>
            </w:pPr>
          </w:p>
        </w:tc>
      </w:tr>
      <w:tr w:rsidR="008D6E67" w14:paraId="5C9E6AF8" w14:textId="77777777" w:rsidTr="00923164">
        <w:trPr>
          <w:trHeight w:val="254"/>
          <w:jc w:val="center"/>
        </w:trPr>
        <w:tc>
          <w:tcPr>
            <w:tcW w:w="360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DCA610D" w14:textId="2D877E78" w:rsidR="008D6E67" w:rsidRDefault="00EF0909" w:rsidP="00A807D4">
            <w:pPr>
              <w:spacing w:after="0" w:line="240" w:lineRule="auto"/>
              <w:ind w:left="0" w:firstLine="0"/>
              <w:contextualSpacing/>
            </w:pPr>
            <w:r>
              <w:rPr>
                <w:b/>
              </w:rPr>
              <w:t>Institute/Service:</w:t>
            </w:r>
          </w:p>
        </w:tc>
        <w:tc>
          <w:tcPr>
            <w:tcW w:w="5762" w:type="dxa"/>
            <w:gridSpan w:val="2"/>
            <w:tcBorders>
              <w:top w:val="single" w:sz="4" w:space="0" w:color="000000"/>
              <w:left w:val="single" w:sz="4" w:space="0" w:color="000000"/>
              <w:bottom w:val="single" w:sz="4" w:space="0" w:color="000000"/>
              <w:right w:val="single" w:sz="4" w:space="0" w:color="000000"/>
            </w:tcBorders>
          </w:tcPr>
          <w:p w14:paraId="57FA19E5" w14:textId="77777777" w:rsidR="008D6E67" w:rsidRDefault="00EF0909" w:rsidP="00A807D4">
            <w:pPr>
              <w:spacing w:after="0" w:line="240" w:lineRule="auto"/>
              <w:ind w:left="1" w:firstLine="0"/>
            </w:pPr>
            <w:r>
              <w:t xml:space="preserve">Student Services </w:t>
            </w:r>
            <w:r w:rsidR="007A010D">
              <w:t>Directorate, Student Support</w:t>
            </w:r>
          </w:p>
          <w:p w14:paraId="30C04EDE" w14:textId="77777777" w:rsidR="007A010D" w:rsidRDefault="007A010D" w:rsidP="00A807D4">
            <w:pPr>
              <w:spacing w:after="0" w:line="240" w:lineRule="auto"/>
              <w:ind w:left="1" w:firstLine="0"/>
            </w:pPr>
          </w:p>
        </w:tc>
      </w:tr>
      <w:tr w:rsidR="008D6E67" w14:paraId="78D4679B" w14:textId="77777777" w:rsidTr="00923164">
        <w:trPr>
          <w:trHeight w:val="640"/>
          <w:jc w:val="center"/>
        </w:trPr>
        <w:tc>
          <w:tcPr>
            <w:tcW w:w="360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47AA182" w14:textId="420B7BBD" w:rsidR="008D6E67" w:rsidRDefault="00EF0909" w:rsidP="00A807D4">
            <w:pPr>
              <w:spacing w:after="0" w:line="240" w:lineRule="auto"/>
              <w:ind w:left="0" w:firstLine="0"/>
              <w:contextualSpacing/>
            </w:pPr>
            <w:r>
              <w:rPr>
                <w:b/>
              </w:rPr>
              <w:t>Job Grade:</w:t>
            </w:r>
          </w:p>
        </w:tc>
        <w:tc>
          <w:tcPr>
            <w:tcW w:w="5762" w:type="dxa"/>
            <w:gridSpan w:val="2"/>
            <w:tcBorders>
              <w:top w:val="single" w:sz="4" w:space="0" w:color="000000"/>
              <w:left w:val="single" w:sz="4" w:space="0" w:color="000000"/>
              <w:bottom w:val="single" w:sz="4" w:space="0" w:color="000000"/>
              <w:right w:val="single" w:sz="4" w:space="0" w:color="000000"/>
            </w:tcBorders>
          </w:tcPr>
          <w:p w14:paraId="2F92C3E8" w14:textId="419C5F54" w:rsidR="008D6E67" w:rsidRDefault="00EF0909" w:rsidP="00A807D4">
            <w:pPr>
              <w:spacing w:after="0" w:line="240" w:lineRule="auto"/>
              <w:ind w:left="1" w:firstLine="0"/>
              <w:contextualSpacing/>
            </w:pPr>
            <w:r>
              <w:t xml:space="preserve">Grade 04 </w:t>
            </w:r>
            <w:r w:rsidR="00725847">
              <w:t>(£</w:t>
            </w:r>
            <w:r w:rsidR="00CD5035">
              <w:t xml:space="preserve">22,681- </w:t>
            </w:r>
            <w:r w:rsidR="004F7EF9">
              <w:t>£24,533)</w:t>
            </w:r>
          </w:p>
          <w:p w14:paraId="3AE4DBE3" w14:textId="361BBC16" w:rsidR="008D6E67" w:rsidRDefault="004F7EF9" w:rsidP="00A807D4">
            <w:pPr>
              <w:spacing w:after="0" w:line="240" w:lineRule="auto"/>
              <w:ind w:left="1" w:firstLine="0"/>
              <w:contextualSpacing/>
            </w:pPr>
            <w:r>
              <w:t xml:space="preserve">Starting salary of </w:t>
            </w:r>
            <w:r w:rsidR="00EF0909">
              <w:t>£</w:t>
            </w:r>
            <w:r w:rsidR="00E71F56">
              <w:t>2</w:t>
            </w:r>
            <w:r w:rsidR="00BF32B5">
              <w:t>2</w:t>
            </w:r>
            <w:r w:rsidR="00EF0909">
              <w:t>,</w:t>
            </w:r>
            <w:r w:rsidR="00BF32B5">
              <w:t>681</w:t>
            </w:r>
          </w:p>
        </w:tc>
      </w:tr>
      <w:tr w:rsidR="008D6E67" w14:paraId="4348D11E" w14:textId="77777777" w:rsidTr="00923164">
        <w:trPr>
          <w:trHeight w:val="252"/>
          <w:jc w:val="center"/>
        </w:trPr>
        <w:tc>
          <w:tcPr>
            <w:tcW w:w="3600" w:type="dxa"/>
            <w:gridSpan w:val="3"/>
            <w:tcBorders>
              <w:top w:val="single" w:sz="4" w:space="0" w:color="000000"/>
              <w:left w:val="single" w:sz="4" w:space="0" w:color="000000"/>
              <w:bottom w:val="single" w:sz="4" w:space="0" w:color="000000"/>
              <w:right w:val="single" w:sz="4" w:space="0" w:color="000000"/>
            </w:tcBorders>
            <w:shd w:val="clear" w:color="auto" w:fill="D9D9D9"/>
          </w:tcPr>
          <w:p w14:paraId="0797A4D7" w14:textId="4D96D9B3" w:rsidR="008D6E67" w:rsidRDefault="00EF0909" w:rsidP="00A807D4">
            <w:pPr>
              <w:spacing w:after="0" w:line="240" w:lineRule="auto"/>
              <w:ind w:left="0" w:firstLine="0"/>
              <w:contextualSpacing/>
            </w:pPr>
            <w:r>
              <w:rPr>
                <w:b/>
              </w:rPr>
              <w:t>Job Family:</w:t>
            </w:r>
          </w:p>
        </w:tc>
        <w:tc>
          <w:tcPr>
            <w:tcW w:w="5762" w:type="dxa"/>
            <w:gridSpan w:val="2"/>
            <w:tcBorders>
              <w:top w:val="single" w:sz="4" w:space="0" w:color="000000"/>
              <w:left w:val="single" w:sz="4" w:space="0" w:color="000000"/>
              <w:bottom w:val="single" w:sz="4" w:space="0" w:color="000000"/>
              <w:right w:val="single" w:sz="4" w:space="0" w:color="000000"/>
            </w:tcBorders>
          </w:tcPr>
          <w:p w14:paraId="0F2B7823" w14:textId="77777777" w:rsidR="005A1164" w:rsidRDefault="00EF0909" w:rsidP="00C920B4">
            <w:pPr>
              <w:spacing w:after="0" w:line="240" w:lineRule="auto"/>
              <w:ind w:left="0" w:firstLine="0"/>
            </w:pPr>
            <w:r>
              <w:t>Professional Services</w:t>
            </w:r>
          </w:p>
          <w:p w14:paraId="6C603E74" w14:textId="71AB0B9B" w:rsidR="00C920B4" w:rsidRDefault="00C920B4" w:rsidP="00C920B4">
            <w:pPr>
              <w:spacing w:after="0" w:line="240" w:lineRule="auto"/>
              <w:ind w:left="0" w:firstLine="0"/>
            </w:pPr>
          </w:p>
        </w:tc>
      </w:tr>
      <w:tr w:rsidR="008D6E67" w14:paraId="2C83D05A" w14:textId="77777777" w:rsidTr="00923164">
        <w:trPr>
          <w:trHeight w:val="630"/>
          <w:jc w:val="center"/>
        </w:trPr>
        <w:tc>
          <w:tcPr>
            <w:tcW w:w="360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B8B31CE" w14:textId="0F3A7700" w:rsidR="008D6E67" w:rsidRDefault="00EF0909" w:rsidP="00A807D4">
            <w:pPr>
              <w:spacing w:after="0" w:line="240" w:lineRule="auto"/>
              <w:ind w:left="0" w:firstLine="0"/>
              <w:contextualSpacing/>
            </w:pPr>
            <w:r>
              <w:rPr>
                <w:b/>
              </w:rPr>
              <w:t>Job Location:</w:t>
            </w:r>
          </w:p>
        </w:tc>
        <w:tc>
          <w:tcPr>
            <w:tcW w:w="5762" w:type="dxa"/>
            <w:gridSpan w:val="2"/>
            <w:tcBorders>
              <w:top w:val="single" w:sz="4" w:space="0" w:color="000000"/>
              <w:left w:val="single" w:sz="4" w:space="0" w:color="000000"/>
              <w:bottom w:val="single" w:sz="4" w:space="0" w:color="000000"/>
              <w:right w:val="single" w:sz="4" w:space="0" w:color="000000"/>
            </w:tcBorders>
          </w:tcPr>
          <w:p w14:paraId="060297BD" w14:textId="68241821" w:rsidR="008D6E67" w:rsidRDefault="007455DB" w:rsidP="00D470FB">
            <w:pPr>
              <w:spacing w:after="0" w:line="240" w:lineRule="auto"/>
              <w:ind w:left="1" w:firstLine="0"/>
            </w:pPr>
            <w:r>
              <w:t>Ambleside Campus</w:t>
            </w:r>
            <w:r w:rsidR="00D470FB">
              <w:t xml:space="preserve"> and </w:t>
            </w:r>
            <w:r w:rsidR="004F7EF9">
              <w:t xml:space="preserve">Lancaster </w:t>
            </w:r>
            <w:r w:rsidR="00504EEB">
              <w:t>Campus</w:t>
            </w:r>
          </w:p>
        </w:tc>
      </w:tr>
      <w:tr w:rsidR="008D6E67" w14:paraId="38B7BE9E" w14:textId="77777777" w:rsidTr="00923164">
        <w:trPr>
          <w:trHeight w:val="496"/>
          <w:jc w:val="center"/>
        </w:trPr>
        <w:tc>
          <w:tcPr>
            <w:tcW w:w="360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1780D8" w14:textId="210C3222" w:rsidR="008D6E67" w:rsidRDefault="00EF0909" w:rsidP="00A807D4">
            <w:pPr>
              <w:spacing w:after="0" w:line="240" w:lineRule="auto"/>
              <w:ind w:left="0" w:firstLine="0"/>
              <w:contextualSpacing/>
            </w:pPr>
            <w:r>
              <w:rPr>
                <w:b/>
              </w:rPr>
              <w:t>Responsible To:</w:t>
            </w:r>
          </w:p>
        </w:tc>
        <w:tc>
          <w:tcPr>
            <w:tcW w:w="5762" w:type="dxa"/>
            <w:gridSpan w:val="2"/>
            <w:tcBorders>
              <w:top w:val="single" w:sz="4" w:space="0" w:color="000000"/>
              <w:left w:val="single" w:sz="4" w:space="0" w:color="000000"/>
              <w:bottom w:val="single" w:sz="4" w:space="0" w:color="000000"/>
              <w:right w:val="single" w:sz="4" w:space="0" w:color="000000"/>
            </w:tcBorders>
          </w:tcPr>
          <w:p w14:paraId="0DB6CBDE" w14:textId="5174740A" w:rsidR="008D6E67" w:rsidRDefault="00EF0909" w:rsidP="00A807D4">
            <w:pPr>
              <w:spacing w:after="0" w:line="240" w:lineRule="auto"/>
              <w:ind w:left="1" w:firstLine="0"/>
            </w:pPr>
            <w:r>
              <w:t xml:space="preserve">Student </w:t>
            </w:r>
            <w:r w:rsidR="00E15311">
              <w:t xml:space="preserve">Engagement </w:t>
            </w:r>
            <w:r>
              <w:t>Manager</w:t>
            </w:r>
          </w:p>
        </w:tc>
      </w:tr>
      <w:tr w:rsidR="008D6E67" w14:paraId="63D5B097" w14:textId="77777777" w:rsidTr="00923164">
        <w:trPr>
          <w:trHeight w:val="496"/>
          <w:jc w:val="center"/>
        </w:trPr>
        <w:tc>
          <w:tcPr>
            <w:tcW w:w="360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4A75210" w14:textId="4F399D8F" w:rsidR="008D6E67" w:rsidRDefault="00EF0909" w:rsidP="00A807D4">
            <w:pPr>
              <w:spacing w:after="0" w:line="240" w:lineRule="auto"/>
              <w:ind w:left="0" w:firstLine="0"/>
              <w:contextualSpacing/>
            </w:pPr>
            <w:r>
              <w:rPr>
                <w:b/>
              </w:rPr>
              <w:t>Responsible For:</w:t>
            </w:r>
          </w:p>
        </w:tc>
        <w:tc>
          <w:tcPr>
            <w:tcW w:w="5762" w:type="dxa"/>
            <w:gridSpan w:val="2"/>
            <w:tcBorders>
              <w:top w:val="single" w:sz="4" w:space="0" w:color="000000"/>
              <w:left w:val="single" w:sz="4" w:space="0" w:color="000000"/>
              <w:bottom w:val="single" w:sz="4" w:space="0" w:color="000000"/>
              <w:right w:val="single" w:sz="4" w:space="0" w:color="000000"/>
            </w:tcBorders>
          </w:tcPr>
          <w:p w14:paraId="32042394" w14:textId="550056D7" w:rsidR="008D6E67" w:rsidRDefault="00EF0909" w:rsidP="00A807D4">
            <w:pPr>
              <w:spacing w:after="0" w:line="240" w:lineRule="auto"/>
              <w:ind w:left="1" w:firstLine="0"/>
            </w:pPr>
            <w:r>
              <w:t>N/A</w:t>
            </w:r>
          </w:p>
        </w:tc>
      </w:tr>
      <w:tr w:rsidR="008D6E67" w14:paraId="35954A05" w14:textId="77777777" w:rsidTr="009B0B98">
        <w:trPr>
          <w:trHeight w:val="253"/>
          <w:jc w:val="center"/>
        </w:trPr>
        <w:tc>
          <w:tcPr>
            <w:tcW w:w="9362" w:type="dxa"/>
            <w:gridSpan w:val="5"/>
            <w:tcBorders>
              <w:top w:val="single" w:sz="4" w:space="0" w:color="000000"/>
              <w:left w:val="single" w:sz="4" w:space="0" w:color="000000"/>
              <w:bottom w:val="single" w:sz="4" w:space="0" w:color="000000"/>
              <w:right w:val="single" w:sz="4" w:space="0" w:color="000000"/>
            </w:tcBorders>
            <w:shd w:val="clear" w:color="auto" w:fill="D9D9D9"/>
          </w:tcPr>
          <w:p w14:paraId="17E48A2B" w14:textId="77777777" w:rsidR="008D6E67" w:rsidRDefault="00EF0909">
            <w:pPr>
              <w:spacing w:after="0" w:line="259" w:lineRule="auto"/>
              <w:ind w:left="0" w:firstLine="0"/>
            </w:pPr>
            <w:r>
              <w:rPr>
                <w:b/>
              </w:rPr>
              <w:t xml:space="preserve">Role Purpose: </w:t>
            </w:r>
          </w:p>
        </w:tc>
      </w:tr>
      <w:tr w:rsidR="008D6E67" w14:paraId="2AEE4D55" w14:textId="77777777" w:rsidTr="00F02851">
        <w:trPr>
          <w:trHeight w:val="1361"/>
          <w:jc w:val="center"/>
        </w:trPr>
        <w:tc>
          <w:tcPr>
            <w:tcW w:w="9362" w:type="dxa"/>
            <w:gridSpan w:val="5"/>
            <w:tcBorders>
              <w:top w:val="single" w:sz="4" w:space="0" w:color="000000"/>
              <w:left w:val="single" w:sz="4" w:space="0" w:color="000000"/>
              <w:bottom w:val="single" w:sz="4" w:space="0" w:color="000000"/>
              <w:right w:val="single" w:sz="4" w:space="0" w:color="000000"/>
            </w:tcBorders>
          </w:tcPr>
          <w:p w14:paraId="34C0DCED" w14:textId="04F40DE4" w:rsidR="00F62DB6" w:rsidRDefault="00EF0909" w:rsidP="00384B14">
            <w:pPr>
              <w:spacing w:after="17" w:line="259" w:lineRule="auto"/>
              <w:ind w:left="0" w:firstLine="0"/>
            </w:pPr>
            <w:r>
              <w:t xml:space="preserve">The Student Engagement </w:t>
            </w:r>
            <w:r w:rsidR="00E139DB">
              <w:t>Team</w:t>
            </w:r>
            <w:r w:rsidR="001A3D75">
              <w:t xml:space="preserve">, based within Student Support, Student Services, </w:t>
            </w:r>
            <w:r w:rsidR="00E139DB">
              <w:t xml:space="preserve">consists of </w:t>
            </w:r>
            <w:r w:rsidR="00380A46">
              <w:t xml:space="preserve">four Student Engagement Co-ordinators (SECs) and </w:t>
            </w:r>
            <w:r w:rsidR="00E139DB">
              <w:t xml:space="preserve">an International </w:t>
            </w:r>
            <w:r w:rsidR="00380A46">
              <w:t xml:space="preserve">Student </w:t>
            </w:r>
            <w:r w:rsidR="00E139DB">
              <w:t>Co-ordinator</w:t>
            </w:r>
            <w:r w:rsidR="00380A46">
              <w:t xml:space="preserve">. </w:t>
            </w:r>
            <w:r w:rsidR="00563CC5">
              <w:t xml:space="preserve">All </w:t>
            </w:r>
            <w:r w:rsidR="00380A46">
              <w:t>roles</w:t>
            </w:r>
            <w:r w:rsidR="00A64228">
              <w:t xml:space="preserve"> are involved with the induction of new </w:t>
            </w:r>
            <w:proofErr w:type="gramStart"/>
            <w:r w:rsidR="00A64228">
              <w:t>students</w:t>
            </w:r>
            <w:r w:rsidR="0060167A">
              <w:t>,</w:t>
            </w:r>
            <w:r w:rsidR="00A64228">
              <w:t xml:space="preserve"> </w:t>
            </w:r>
            <w:r w:rsidR="0060167A">
              <w:t>and</w:t>
            </w:r>
            <w:proofErr w:type="gramEnd"/>
            <w:r w:rsidR="0060167A">
              <w:t xml:space="preserve"> </w:t>
            </w:r>
            <w:r w:rsidR="003E2F03">
              <w:t xml:space="preserve">work closely with tutors and students </w:t>
            </w:r>
            <w:r w:rsidR="005B4BF4">
              <w:t xml:space="preserve">from </w:t>
            </w:r>
            <w:r w:rsidR="003E2F03">
              <w:t xml:space="preserve">the following </w:t>
            </w:r>
            <w:r w:rsidR="005B4BF4">
              <w:t xml:space="preserve">institutes to </w:t>
            </w:r>
            <w:r w:rsidR="00F62DB6">
              <w:t xml:space="preserve">provide a team approach </w:t>
            </w:r>
            <w:r w:rsidR="00956B10">
              <w:t xml:space="preserve">to </w:t>
            </w:r>
            <w:r w:rsidR="00563CC5">
              <w:t xml:space="preserve">early </w:t>
            </w:r>
            <w:r w:rsidR="009B1694">
              <w:t>identification</w:t>
            </w:r>
            <w:r w:rsidR="009953F1">
              <w:t>, enhanced support</w:t>
            </w:r>
            <w:r w:rsidR="009B1694">
              <w:t xml:space="preserve"> and </w:t>
            </w:r>
            <w:r w:rsidR="009B58FC">
              <w:t xml:space="preserve">signposting for </w:t>
            </w:r>
            <w:r w:rsidR="003E2F03">
              <w:t xml:space="preserve">failing </w:t>
            </w:r>
            <w:r w:rsidR="00F62DB6">
              <w:t>students</w:t>
            </w:r>
            <w:r w:rsidR="005B4BF4">
              <w:t>.</w:t>
            </w:r>
          </w:p>
          <w:p w14:paraId="19302778" w14:textId="77777777" w:rsidR="00F62DB6" w:rsidRDefault="00F62DB6" w:rsidP="00384B14">
            <w:pPr>
              <w:spacing w:after="17" w:line="259" w:lineRule="auto"/>
              <w:ind w:left="0" w:firstLine="0"/>
            </w:pPr>
          </w:p>
          <w:p w14:paraId="3AF64D26" w14:textId="77777777" w:rsidR="005B4BF4" w:rsidRDefault="005B4BF4" w:rsidP="005B4BF4">
            <w:pPr>
              <w:spacing w:after="17" w:line="259" w:lineRule="auto"/>
              <w:ind w:left="0" w:firstLine="0"/>
            </w:pPr>
            <w:r>
              <w:t>Institute of Business, Industry and Leadership</w:t>
            </w:r>
          </w:p>
          <w:p w14:paraId="5063F63A" w14:textId="77777777" w:rsidR="001414C0" w:rsidRDefault="001414C0" w:rsidP="001414C0">
            <w:pPr>
              <w:spacing w:after="17" w:line="259" w:lineRule="auto"/>
              <w:ind w:left="0" w:firstLine="0"/>
            </w:pPr>
            <w:r>
              <w:t xml:space="preserve">Institute of Education, Arts and Society  </w:t>
            </w:r>
          </w:p>
          <w:p w14:paraId="62221AC5" w14:textId="77777777" w:rsidR="000F5A18" w:rsidRDefault="00EF0909" w:rsidP="00384B14">
            <w:pPr>
              <w:spacing w:after="17" w:line="259" w:lineRule="auto"/>
              <w:ind w:left="0" w:firstLine="0"/>
            </w:pPr>
            <w:r>
              <w:t>Institute of Health</w:t>
            </w:r>
          </w:p>
          <w:p w14:paraId="2BDC35FF" w14:textId="77777777" w:rsidR="00E139DB" w:rsidRDefault="00EF0909" w:rsidP="00384B14">
            <w:pPr>
              <w:spacing w:after="17" w:line="259" w:lineRule="auto"/>
              <w:ind w:left="0" w:firstLine="0"/>
            </w:pPr>
            <w:r>
              <w:t>Institute of Science</w:t>
            </w:r>
            <w:r w:rsidR="00996606">
              <w:t xml:space="preserve"> and the En</w:t>
            </w:r>
            <w:r w:rsidR="0033434F">
              <w:t>v</w:t>
            </w:r>
            <w:r w:rsidR="00996606">
              <w:t>ir</w:t>
            </w:r>
            <w:r w:rsidR="0033434F">
              <w:t>o</w:t>
            </w:r>
            <w:r w:rsidR="00996606">
              <w:t>nment</w:t>
            </w:r>
          </w:p>
          <w:p w14:paraId="09FD1F11" w14:textId="77777777" w:rsidR="001414C0" w:rsidRDefault="001414C0" w:rsidP="00384B14">
            <w:pPr>
              <w:spacing w:after="17" w:line="259" w:lineRule="auto"/>
              <w:ind w:left="0" w:firstLine="0"/>
            </w:pPr>
          </w:p>
          <w:p w14:paraId="12987FBA" w14:textId="15897ADD" w:rsidR="00FF0E1E" w:rsidRDefault="00910A91" w:rsidP="00384B14">
            <w:pPr>
              <w:spacing w:after="17" w:line="259" w:lineRule="auto"/>
              <w:ind w:left="0" w:firstLine="0"/>
            </w:pPr>
            <w:r>
              <w:t>An opportunity has arisen for two SECs</w:t>
            </w:r>
            <w:r w:rsidR="00196948">
              <w:t xml:space="preserve"> to join this </w:t>
            </w:r>
            <w:r w:rsidR="0070134B">
              <w:t xml:space="preserve">dynamic </w:t>
            </w:r>
            <w:r w:rsidR="00196948">
              <w:t>team</w:t>
            </w:r>
            <w:r w:rsidR="009B58FC">
              <w:t>.</w:t>
            </w:r>
          </w:p>
          <w:p w14:paraId="7E4CD4A4" w14:textId="4BD807FC" w:rsidR="00384B14" w:rsidRDefault="00384B14" w:rsidP="00384B14">
            <w:pPr>
              <w:spacing w:after="17" w:line="259" w:lineRule="auto"/>
              <w:ind w:left="0" w:firstLine="0"/>
            </w:pPr>
          </w:p>
          <w:p w14:paraId="47DE5EFF" w14:textId="0A41C72D" w:rsidR="008D6E67" w:rsidRDefault="00EF0909">
            <w:pPr>
              <w:spacing w:after="197" w:line="277" w:lineRule="auto"/>
              <w:ind w:left="0" w:firstLine="0"/>
            </w:pPr>
            <w:r>
              <w:t xml:space="preserve">Working closely with the Teaching &amp; Learning &amp; Student Experience Leads (TL&amp;SE Leads) in each Institute, Personal Tutors, </w:t>
            </w:r>
            <w:r w:rsidR="007A2FC6">
              <w:t xml:space="preserve">Academic </w:t>
            </w:r>
            <w:r>
              <w:t>Registry and Student Services</w:t>
            </w:r>
            <w:r w:rsidR="001E28AB">
              <w:t>’</w:t>
            </w:r>
            <w:r>
              <w:t xml:space="preserve"> colleagues, you will identify students at risk of disengagement, </w:t>
            </w:r>
            <w:proofErr w:type="gramStart"/>
            <w:r>
              <w:t>failure</w:t>
            </w:r>
            <w:proofErr w:type="gramEnd"/>
            <w:r>
              <w:t xml:space="preserve"> or non-completion, providing timely advice, guidance and referrals to specialist support at key times in the academic year. </w:t>
            </w:r>
          </w:p>
          <w:p w14:paraId="38EF3893" w14:textId="67E5B38F" w:rsidR="008D6E67" w:rsidRDefault="00EF0909">
            <w:pPr>
              <w:spacing w:after="195" w:line="278" w:lineRule="auto"/>
              <w:ind w:left="0" w:right="51" w:firstLine="0"/>
            </w:pPr>
            <w:r>
              <w:t>The role</w:t>
            </w:r>
            <w:r w:rsidR="0070134B">
              <w:t>s</w:t>
            </w:r>
            <w:r>
              <w:t xml:space="preserve"> will involve </w:t>
            </w:r>
            <w:r w:rsidR="00E17589">
              <w:t xml:space="preserve">interpreting university retention data, </w:t>
            </w:r>
            <w:r>
              <w:t xml:space="preserve">developing and facilitating interventions with a range of teams to improve retention and progression, and inform and promote the continued development of Institutional protocols and practices to actively support and improve student engagement, </w:t>
            </w:r>
            <w:proofErr w:type="gramStart"/>
            <w:r>
              <w:t>retention</w:t>
            </w:r>
            <w:proofErr w:type="gramEnd"/>
            <w:r>
              <w:t xml:space="preserve"> and progression, including the implementation of standardised processes/procedures and best practices. </w:t>
            </w:r>
          </w:p>
          <w:p w14:paraId="4C5A345F" w14:textId="15C49BDF" w:rsidR="008D6E67" w:rsidRDefault="00EF0909">
            <w:pPr>
              <w:spacing w:after="197" w:line="280" w:lineRule="auto"/>
              <w:ind w:left="0" w:firstLine="0"/>
            </w:pPr>
            <w:r>
              <w:t xml:space="preserve">You will be a recognised point of contact for Year 1 students and international students.  </w:t>
            </w:r>
          </w:p>
          <w:p w14:paraId="3B97F99A" w14:textId="77777777" w:rsidR="008D6E67" w:rsidRDefault="00EF0909">
            <w:pPr>
              <w:spacing w:after="213" w:line="259" w:lineRule="auto"/>
              <w:ind w:left="0" w:firstLine="0"/>
            </w:pPr>
            <w:r>
              <w:rPr>
                <w:b/>
              </w:rPr>
              <w:t xml:space="preserve">Other Conditions: </w:t>
            </w:r>
            <w:r>
              <w:t xml:space="preserve"> </w:t>
            </w:r>
          </w:p>
          <w:p w14:paraId="504F61A9" w14:textId="77777777" w:rsidR="008D6E67" w:rsidRDefault="00EF0909">
            <w:pPr>
              <w:spacing w:after="197" w:line="278" w:lineRule="auto"/>
              <w:ind w:left="0" w:firstLine="0"/>
            </w:pPr>
            <w:r>
              <w:t xml:space="preserve">The post holder may be required to work such additional/different hours as may from time to time be necessary for the proper and efficient discharge of his or her duties which may include evenings, Saturdays, </w:t>
            </w:r>
            <w:proofErr w:type="gramStart"/>
            <w:r>
              <w:t>Sundays</w:t>
            </w:r>
            <w:proofErr w:type="gramEnd"/>
            <w:r>
              <w:t xml:space="preserve"> and bank holidays. </w:t>
            </w:r>
          </w:p>
          <w:p w14:paraId="10626CA2" w14:textId="77777777" w:rsidR="008D6E67" w:rsidRDefault="00EF0909">
            <w:pPr>
              <w:spacing w:after="0" w:line="259" w:lineRule="auto"/>
              <w:ind w:left="0" w:firstLine="0"/>
            </w:pPr>
            <w:r>
              <w:lastRenderedPageBreak/>
              <w:t xml:space="preserve">The post holder will be required to actively participate in training and briefing sessions to regularly update their own skills and knowledge, to ensure that the advice and guidance they provide is based on an up-to-date understanding of a broad range of issues, </w:t>
            </w:r>
            <w:proofErr w:type="gramStart"/>
            <w:r>
              <w:t>systems</w:t>
            </w:r>
            <w:proofErr w:type="gramEnd"/>
            <w:r>
              <w:t xml:space="preserve"> and processes. </w:t>
            </w:r>
          </w:p>
        </w:tc>
      </w:tr>
      <w:tr w:rsidR="008D6E67" w14:paraId="7306197D" w14:textId="77777777" w:rsidTr="009B0B98">
        <w:tblPrEx>
          <w:tblCellMar>
            <w:left w:w="107" w:type="dxa"/>
            <w:right w:w="54" w:type="dxa"/>
          </w:tblCellMar>
        </w:tblPrEx>
        <w:trPr>
          <w:gridAfter w:val="1"/>
          <w:wAfter w:w="7" w:type="dxa"/>
          <w:trHeight w:val="262"/>
          <w:jc w:val="center"/>
        </w:trPr>
        <w:tc>
          <w:tcPr>
            <w:tcW w:w="9357" w:type="dxa"/>
            <w:gridSpan w:val="4"/>
            <w:tcBorders>
              <w:top w:val="nil"/>
              <w:left w:val="nil"/>
              <w:bottom w:val="nil"/>
              <w:right w:val="nil"/>
            </w:tcBorders>
            <w:shd w:val="clear" w:color="auto" w:fill="000000"/>
          </w:tcPr>
          <w:p w14:paraId="54163542" w14:textId="2A987C3F" w:rsidR="008D6E67" w:rsidRDefault="00EF0909">
            <w:pPr>
              <w:spacing w:after="0" w:line="259" w:lineRule="auto"/>
              <w:ind w:left="0" w:firstLine="0"/>
            </w:pPr>
            <w:r>
              <w:lastRenderedPageBreak/>
              <w:t xml:space="preserve"> </w:t>
            </w:r>
            <w:r>
              <w:rPr>
                <w:b/>
                <w:color w:val="FFFFFF"/>
              </w:rPr>
              <w:t xml:space="preserve">SECTION B: PRINCIPAL DUTIES/KEY OBJECTIVES </w:t>
            </w:r>
          </w:p>
        </w:tc>
      </w:tr>
      <w:tr w:rsidR="008D6E67" w14:paraId="1F842D33" w14:textId="77777777" w:rsidTr="009B0B98">
        <w:tblPrEx>
          <w:tblCellMar>
            <w:left w:w="107" w:type="dxa"/>
            <w:right w:w="54" w:type="dxa"/>
          </w:tblCellMar>
        </w:tblPrEx>
        <w:trPr>
          <w:gridAfter w:val="1"/>
          <w:wAfter w:w="7" w:type="dxa"/>
          <w:trHeight w:val="492"/>
          <w:jc w:val="center"/>
        </w:trPr>
        <w:tc>
          <w:tcPr>
            <w:tcW w:w="9357" w:type="dxa"/>
            <w:gridSpan w:val="4"/>
            <w:tcBorders>
              <w:top w:val="nil"/>
              <w:left w:val="single" w:sz="4" w:space="0" w:color="000000"/>
              <w:bottom w:val="single" w:sz="4" w:space="0" w:color="000000"/>
              <w:right w:val="single" w:sz="4" w:space="0" w:color="000000"/>
            </w:tcBorders>
          </w:tcPr>
          <w:p w14:paraId="4C0CBB8F" w14:textId="77777777" w:rsidR="008D6E67" w:rsidRDefault="00EF0909">
            <w:pPr>
              <w:spacing w:after="0" w:line="259" w:lineRule="auto"/>
              <w:ind w:left="0" w:firstLine="0"/>
              <w:jc w:val="both"/>
            </w:pPr>
            <w:r>
              <w:rPr>
                <w:b/>
              </w:rPr>
              <w:t xml:space="preserve">key objectives, principal duties, </w:t>
            </w:r>
            <w:proofErr w:type="gramStart"/>
            <w:r>
              <w:rPr>
                <w:b/>
              </w:rPr>
              <w:t>tasks</w:t>
            </w:r>
            <w:proofErr w:type="gramEnd"/>
            <w:r>
              <w:rPr>
                <w:b/>
              </w:rPr>
              <w:t xml:space="preserve"> or areas of responsibility that this role will focus on </w:t>
            </w:r>
          </w:p>
        </w:tc>
      </w:tr>
      <w:tr w:rsidR="008D6E67" w14:paraId="38E60398" w14:textId="77777777" w:rsidTr="009B0B98">
        <w:tblPrEx>
          <w:tblCellMar>
            <w:left w:w="107" w:type="dxa"/>
            <w:right w:w="54" w:type="dxa"/>
          </w:tblCellMar>
        </w:tblPrEx>
        <w:trPr>
          <w:gridBefore w:val="1"/>
          <w:wBefore w:w="7" w:type="dxa"/>
          <w:trHeight w:val="739"/>
          <w:jc w:val="center"/>
        </w:trPr>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C6C59C" w14:textId="77777777" w:rsidR="008D6E67" w:rsidRDefault="00EF0909">
            <w:pPr>
              <w:spacing w:after="0" w:line="259" w:lineRule="auto"/>
              <w:ind w:left="0" w:firstLine="0"/>
            </w:pPr>
            <w:r>
              <w:rPr>
                <w:b/>
              </w:rPr>
              <w:t xml:space="preserve">1. </w:t>
            </w:r>
          </w:p>
        </w:tc>
        <w:tc>
          <w:tcPr>
            <w:tcW w:w="8457" w:type="dxa"/>
            <w:gridSpan w:val="3"/>
            <w:tcBorders>
              <w:top w:val="single" w:sz="4" w:space="0" w:color="000000"/>
              <w:left w:val="single" w:sz="4" w:space="0" w:color="000000"/>
              <w:bottom w:val="single" w:sz="6" w:space="0" w:color="000000"/>
              <w:right w:val="single" w:sz="6" w:space="0" w:color="000000"/>
            </w:tcBorders>
          </w:tcPr>
          <w:p w14:paraId="6097C178" w14:textId="77777777" w:rsidR="008D6E67" w:rsidRDefault="00EF0909">
            <w:pPr>
              <w:spacing w:after="0" w:line="259" w:lineRule="auto"/>
              <w:ind w:left="2" w:firstLine="0"/>
            </w:pPr>
            <w:r>
              <w:t xml:space="preserve">To work closely with each Institute to identify and intervene with students at risk of withdrawal or intercalation, using relevant student achievement and engagement data and intelligence from the case management system. </w:t>
            </w:r>
          </w:p>
        </w:tc>
      </w:tr>
      <w:tr w:rsidR="008D6E67" w14:paraId="10D26E5B" w14:textId="77777777" w:rsidTr="009B0B98">
        <w:tblPrEx>
          <w:tblCellMar>
            <w:left w:w="107" w:type="dxa"/>
            <w:right w:w="54" w:type="dxa"/>
          </w:tblCellMar>
        </w:tblPrEx>
        <w:trPr>
          <w:gridBefore w:val="1"/>
          <w:wBefore w:w="7" w:type="dxa"/>
          <w:trHeight w:val="744"/>
          <w:jc w:val="center"/>
        </w:trPr>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24A061" w14:textId="77777777" w:rsidR="008D6E67" w:rsidRDefault="00EF0909">
            <w:pPr>
              <w:spacing w:after="0" w:line="259" w:lineRule="auto"/>
              <w:ind w:left="0" w:firstLine="0"/>
            </w:pPr>
            <w:r>
              <w:rPr>
                <w:b/>
              </w:rPr>
              <w:t xml:space="preserve">2. </w:t>
            </w:r>
          </w:p>
        </w:tc>
        <w:tc>
          <w:tcPr>
            <w:tcW w:w="8457" w:type="dxa"/>
            <w:gridSpan w:val="3"/>
            <w:tcBorders>
              <w:top w:val="single" w:sz="6" w:space="0" w:color="000000"/>
              <w:left w:val="single" w:sz="4" w:space="0" w:color="000000"/>
              <w:bottom w:val="single" w:sz="6" w:space="0" w:color="000000"/>
              <w:right w:val="single" w:sz="6" w:space="0" w:color="000000"/>
            </w:tcBorders>
          </w:tcPr>
          <w:p w14:paraId="772991FC" w14:textId="306DD1F7" w:rsidR="008D6E67" w:rsidRDefault="00EF0909">
            <w:pPr>
              <w:spacing w:after="0" w:line="259" w:lineRule="auto"/>
              <w:ind w:left="2" w:firstLine="0"/>
            </w:pPr>
            <w:r>
              <w:t xml:space="preserve">To liaise and communicate effectively internally with Personal Tutors, Programme </w:t>
            </w:r>
            <w:proofErr w:type="gramStart"/>
            <w:r>
              <w:t>Leaders</w:t>
            </w:r>
            <w:proofErr w:type="gramEnd"/>
            <w:r>
              <w:t xml:space="preserve"> and the Lead for Teaching &amp; Learning &amp; Student Experience</w:t>
            </w:r>
          </w:p>
        </w:tc>
      </w:tr>
      <w:tr w:rsidR="008D6E67" w14:paraId="055BD2E8" w14:textId="77777777" w:rsidTr="009B0B98">
        <w:tblPrEx>
          <w:tblCellMar>
            <w:left w:w="107" w:type="dxa"/>
            <w:right w:w="54" w:type="dxa"/>
          </w:tblCellMar>
        </w:tblPrEx>
        <w:trPr>
          <w:gridBefore w:val="1"/>
          <w:wBefore w:w="7" w:type="dxa"/>
          <w:trHeight w:val="989"/>
          <w:jc w:val="center"/>
        </w:trPr>
        <w:tc>
          <w:tcPr>
            <w:tcW w:w="900" w:type="dxa"/>
            <w:tcBorders>
              <w:top w:val="single" w:sz="4" w:space="0" w:color="000000"/>
              <w:left w:val="single" w:sz="4" w:space="0" w:color="000000"/>
              <w:bottom w:val="single" w:sz="2" w:space="0" w:color="D9D9D9"/>
              <w:right w:val="single" w:sz="4" w:space="0" w:color="000000"/>
            </w:tcBorders>
            <w:shd w:val="clear" w:color="auto" w:fill="D9D9D9"/>
            <w:vAlign w:val="center"/>
          </w:tcPr>
          <w:p w14:paraId="73E04BA2" w14:textId="77777777" w:rsidR="008D6E67" w:rsidRDefault="00EF0909">
            <w:pPr>
              <w:spacing w:after="0" w:line="259" w:lineRule="auto"/>
              <w:ind w:left="0" w:firstLine="0"/>
            </w:pPr>
            <w:r>
              <w:rPr>
                <w:b/>
              </w:rPr>
              <w:t xml:space="preserve">3. </w:t>
            </w:r>
          </w:p>
        </w:tc>
        <w:tc>
          <w:tcPr>
            <w:tcW w:w="8457" w:type="dxa"/>
            <w:gridSpan w:val="3"/>
            <w:tcBorders>
              <w:top w:val="single" w:sz="6" w:space="0" w:color="000000"/>
              <w:left w:val="single" w:sz="4" w:space="0" w:color="000000"/>
              <w:bottom w:val="single" w:sz="6" w:space="0" w:color="000000"/>
              <w:right w:val="single" w:sz="6" w:space="0" w:color="000000"/>
            </w:tcBorders>
          </w:tcPr>
          <w:p w14:paraId="7EC276FD" w14:textId="77777777" w:rsidR="008D6E67" w:rsidRDefault="00EF0909">
            <w:pPr>
              <w:spacing w:after="0" w:line="259" w:lineRule="auto"/>
              <w:ind w:left="2" w:firstLine="0"/>
            </w:pPr>
            <w:r>
              <w:t xml:space="preserve">To meet with all students considering withdrawal and/or intercalation to ensure that students are aware of the options under the academic regulations and that they are aware of the support services available in the university where applicable.  </w:t>
            </w:r>
          </w:p>
        </w:tc>
      </w:tr>
      <w:tr w:rsidR="008D6E67" w14:paraId="3A695342" w14:textId="77777777" w:rsidTr="009B0B98">
        <w:tblPrEx>
          <w:tblCellMar>
            <w:left w:w="107" w:type="dxa"/>
            <w:right w:w="54" w:type="dxa"/>
          </w:tblCellMar>
        </w:tblPrEx>
        <w:trPr>
          <w:gridBefore w:val="1"/>
          <w:wBefore w:w="7" w:type="dxa"/>
          <w:trHeight w:val="986"/>
          <w:jc w:val="center"/>
        </w:trPr>
        <w:tc>
          <w:tcPr>
            <w:tcW w:w="900" w:type="dxa"/>
            <w:tcBorders>
              <w:top w:val="single" w:sz="2" w:space="0" w:color="D9D9D9"/>
              <w:left w:val="single" w:sz="4" w:space="0" w:color="000000"/>
              <w:bottom w:val="single" w:sz="4" w:space="0" w:color="000000"/>
              <w:right w:val="single" w:sz="4" w:space="0" w:color="000000"/>
            </w:tcBorders>
            <w:shd w:val="clear" w:color="auto" w:fill="D9D9D9"/>
            <w:vAlign w:val="center"/>
          </w:tcPr>
          <w:p w14:paraId="2EB6BFA9" w14:textId="77777777" w:rsidR="008D6E67" w:rsidRDefault="00EF0909">
            <w:pPr>
              <w:spacing w:after="0" w:line="259" w:lineRule="auto"/>
              <w:ind w:left="0" w:firstLine="0"/>
            </w:pPr>
            <w:r>
              <w:rPr>
                <w:b/>
              </w:rPr>
              <w:t xml:space="preserve">4. </w:t>
            </w:r>
          </w:p>
        </w:tc>
        <w:tc>
          <w:tcPr>
            <w:tcW w:w="8457" w:type="dxa"/>
            <w:gridSpan w:val="3"/>
            <w:tcBorders>
              <w:top w:val="single" w:sz="6" w:space="0" w:color="000000"/>
              <w:left w:val="single" w:sz="4" w:space="0" w:color="000000"/>
              <w:bottom w:val="single" w:sz="6" w:space="0" w:color="000000"/>
              <w:right w:val="single" w:sz="6" w:space="0" w:color="000000"/>
            </w:tcBorders>
          </w:tcPr>
          <w:p w14:paraId="33E384C5" w14:textId="3D388A3D" w:rsidR="008D6E67" w:rsidRDefault="00EF0909">
            <w:pPr>
              <w:spacing w:after="0" w:line="259" w:lineRule="auto"/>
              <w:ind w:left="2" w:firstLine="0"/>
            </w:pPr>
            <w:r>
              <w:t xml:space="preserve">To assist in the development, planning, </w:t>
            </w:r>
            <w:proofErr w:type="gramStart"/>
            <w:r>
              <w:t>delivery</w:t>
            </w:r>
            <w:proofErr w:type="gramEnd"/>
            <w:r>
              <w:t xml:space="preserve"> and evaluation of specific initiatives, such as Induction, to facilitate and support increased retention and engagement in addition to raising awareness of the </w:t>
            </w:r>
            <w:r w:rsidR="00A47475">
              <w:t xml:space="preserve">online </w:t>
            </w:r>
            <w:r>
              <w:t xml:space="preserve">Student </w:t>
            </w:r>
            <w:r w:rsidR="00A47475">
              <w:t>Enquiry Point (</w:t>
            </w:r>
            <w:proofErr w:type="spellStart"/>
            <w:r w:rsidR="00A47475">
              <w:t>StEP</w:t>
            </w:r>
            <w:proofErr w:type="spellEnd"/>
            <w:r w:rsidR="00A47475">
              <w:t>)</w:t>
            </w:r>
            <w:r>
              <w:t xml:space="preserve">, the Student Engagement Co-ordinator role and the support available. </w:t>
            </w:r>
          </w:p>
        </w:tc>
      </w:tr>
      <w:tr w:rsidR="008D6E67" w14:paraId="5B847C4D" w14:textId="77777777" w:rsidTr="009B0B98">
        <w:tblPrEx>
          <w:tblCellMar>
            <w:left w:w="107" w:type="dxa"/>
            <w:right w:w="54" w:type="dxa"/>
          </w:tblCellMar>
        </w:tblPrEx>
        <w:trPr>
          <w:gridBefore w:val="1"/>
          <w:wBefore w:w="7" w:type="dxa"/>
          <w:trHeight w:val="986"/>
          <w:jc w:val="center"/>
        </w:trPr>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ABCEB5" w14:textId="77777777" w:rsidR="008D6E67" w:rsidRDefault="00EF0909">
            <w:pPr>
              <w:spacing w:after="0" w:line="259" w:lineRule="auto"/>
              <w:ind w:left="0" w:firstLine="0"/>
            </w:pPr>
            <w:r>
              <w:rPr>
                <w:b/>
              </w:rPr>
              <w:t xml:space="preserve">5. </w:t>
            </w:r>
          </w:p>
        </w:tc>
        <w:tc>
          <w:tcPr>
            <w:tcW w:w="8457" w:type="dxa"/>
            <w:gridSpan w:val="3"/>
            <w:tcBorders>
              <w:top w:val="single" w:sz="6" w:space="0" w:color="000000"/>
              <w:left w:val="single" w:sz="4" w:space="0" w:color="000000"/>
              <w:bottom w:val="single" w:sz="6" w:space="0" w:color="000000"/>
              <w:right w:val="single" w:sz="6" w:space="0" w:color="000000"/>
            </w:tcBorders>
          </w:tcPr>
          <w:p w14:paraId="5B25FDBF" w14:textId="2FDF655A" w:rsidR="008D6E67" w:rsidRDefault="00EF0909">
            <w:pPr>
              <w:spacing w:after="0" w:line="259" w:lineRule="auto"/>
              <w:ind w:left="2" w:firstLine="0"/>
            </w:pPr>
            <w:r>
              <w:t xml:space="preserve">Within the context of wider institutional communication schedules, to support institute colleagues in implementing a ‘keeping warm’ communications strategy for students during the summer vacation, particularly those </w:t>
            </w:r>
            <w:r w:rsidR="00701E4B">
              <w:t xml:space="preserve">returning from </w:t>
            </w:r>
            <w:r>
              <w:t xml:space="preserve">intercalation. </w:t>
            </w:r>
          </w:p>
        </w:tc>
      </w:tr>
      <w:tr w:rsidR="008D6E67" w14:paraId="3BE6F5D0" w14:textId="77777777" w:rsidTr="009B0B98">
        <w:tblPrEx>
          <w:tblCellMar>
            <w:left w:w="107" w:type="dxa"/>
            <w:right w:w="54" w:type="dxa"/>
          </w:tblCellMar>
        </w:tblPrEx>
        <w:trPr>
          <w:gridBefore w:val="1"/>
          <w:wBefore w:w="7" w:type="dxa"/>
          <w:trHeight w:val="1474"/>
          <w:jc w:val="center"/>
        </w:trPr>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A16FBE" w14:textId="77777777" w:rsidR="008D6E67" w:rsidRDefault="00EF0909">
            <w:pPr>
              <w:spacing w:after="0" w:line="259" w:lineRule="auto"/>
              <w:ind w:left="0" w:firstLine="0"/>
            </w:pPr>
            <w:r>
              <w:rPr>
                <w:b/>
              </w:rPr>
              <w:t xml:space="preserve">6. </w:t>
            </w:r>
          </w:p>
        </w:tc>
        <w:tc>
          <w:tcPr>
            <w:tcW w:w="8457" w:type="dxa"/>
            <w:gridSpan w:val="3"/>
            <w:tcBorders>
              <w:top w:val="single" w:sz="6" w:space="0" w:color="000000"/>
              <w:left w:val="single" w:sz="4" w:space="0" w:color="000000"/>
              <w:bottom w:val="single" w:sz="6" w:space="0" w:color="000000"/>
              <w:right w:val="single" w:sz="6" w:space="0" w:color="000000"/>
            </w:tcBorders>
          </w:tcPr>
          <w:p w14:paraId="4048705D" w14:textId="77777777" w:rsidR="008D6E67" w:rsidRDefault="00EF0909">
            <w:pPr>
              <w:spacing w:after="11" w:line="259" w:lineRule="auto"/>
              <w:ind w:left="2" w:firstLine="0"/>
            </w:pPr>
            <w:r>
              <w:t xml:space="preserve">Record keeping and report writing:  </w:t>
            </w:r>
          </w:p>
          <w:p w14:paraId="360B7D4C" w14:textId="77777777" w:rsidR="008D6E67" w:rsidRDefault="00EF0909">
            <w:pPr>
              <w:numPr>
                <w:ilvl w:val="0"/>
                <w:numId w:val="1"/>
              </w:numPr>
              <w:spacing w:after="0" w:line="259" w:lineRule="auto"/>
              <w:ind w:hanging="360"/>
            </w:pPr>
            <w:r>
              <w:t xml:space="preserve">Maintain records of interactions with students. </w:t>
            </w:r>
          </w:p>
          <w:p w14:paraId="71D29A75" w14:textId="77777777" w:rsidR="008D6E67" w:rsidRDefault="00EF0909">
            <w:pPr>
              <w:numPr>
                <w:ilvl w:val="0"/>
                <w:numId w:val="1"/>
              </w:numPr>
              <w:spacing w:after="24" w:line="246" w:lineRule="auto"/>
              <w:ind w:hanging="360"/>
            </w:pPr>
            <w:r>
              <w:t xml:space="preserve">Engage with the formal processes for tracking and reporting student reasons for leaving. </w:t>
            </w:r>
          </w:p>
          <w:p w14:paraId="377C7024" w14:textId="77777777" w:rsidR="008D6E67" w:rsidRDefault="00EF0909">
            <w:pPr>
              <w:numPr>
                <w:ilvl w:val="0"/>
                <w:numId w:val="1"/>
              </w:numPr>
              <w:spacing w:after="0" w:line="259" w:lineRule="auto"/>
              <w:ind w:hanging="360"/>
            </w:pPr>
            <w:r>
              <w:t xml:space="preserve">Produce basic reports using available monitoring and evaluation data relevant to contacts with students, </w:t>
            </w:r>
            <w:proofErr w:type="gramStart"/>
            <w:r>
              <w:t>interventions</w:t>
            </w:r>
            <w:proofErr w:type="gramEnd"/>
            <w:r>
              <w:t xml:space="preserve"> and outcomes </w:t>
            </w:r>
          </w:p>
        </w:tc>
      </w:tr>
    </w:tbl>
    <w:p w14:paraId="2670F326" w14:textId="77777777" w:rsidR="008D6E67" w:rsidRDefault="00EF0909">
      <w:pPr>
        <w:spacing w:after="0" w:line="259" w:lineRule="auto"/>
        <w:ind w:left="0" w:firstLine="0"/>
      </w:pPr>
      <w:r>
        <w:t xml:space="preserve"> </w:t>
      </w:r>
    </w:p>
    <w:p w14:paraId="562CB053" w14:textId="77777777" w:rsidR="008D6E67" w:rsidRDefault="00EF0909">
      <w:pPr>
        <w:spacing w:after="0" w:line="259" w:lineRule="auto"/>
        <w:ind w:left="-5"/>
      </w:pPr>
      <w:r>
        <w:rPr>
          <w:b/>
        </w:rPr>
        <w:t>Additional Information:</w:t>
      </w:r>
      <w:r>
        <w:t xml:space="preserve"> </w:t>
      </w:r>
    </w:p>
    <w:p w14:paraId="0B7550D9" w14:textId="77777777" w:rsidR="008D6E67" w:rsidRDefault="00EF0909">
      <w:pPr>
        <w:ind w:left="-5" w:right="23"/>
      </w:pPr>
      <w:r>
        <w:t xml:space="preserve">You may on occasions and in line with operational needs: </w:t>
      </w:r>
    </w:p>
    <w:p w14:paraId="2EAB4F81" w14:textId="77777777" w:rsidR="008D6E67" w:rsidRDefault="00EF0909">
      <w:pPr>
        <w:ind w:left="-5" w:right="186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Be required to work different hours including at weekends/evenings;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Be required to travel to other campuses and sites as necessary.  </w:t>
      </w:r>
    </w:p>
    <w:p w14:paraId="7D15C3F4" w14:textId="77777777" w:rsidR="008D6E67" w:rsidRDefault="00EF0909">
      <w:pPr>
        <w:spacing w:after="0" w:line="259" w:lineRule="auto"/>
        <w:ind w:left="0" w:firstLine="0"/>
      </w:pPr>
      <w:r>
        <w:t xml:space="preserve"> </w:t>
      </w:r>
    </w:p>
    <w:p w14:paraId="470B5B68" w14:textId="77777777" w:rsidR="008D6E67" w:rsidRDefault="00EF0909">
      <w:pPr>
        <w:ind w:left="-5" w:right="23"/>
      </w:pPr>
      <w:r>
        <w:t xml:space="preserve">In addition to the duties listed here, you will be required to perform other duties which are assigned from time to time.  However, such other duties will be reasonable in relation to the grade.  </w:t>
      </w:r>
    </w:p>
    <w:p w14:paraId="19BE70B0" w14:textId="77777777" w:rsidR="008D6E67" w:rsidRDefault="00EF0909">
      <w:pPr>
        <w:spacing w:after="0" w:line="259" w:lineRule="auto"/>
        <w:ind w:left="0" w:firstLine="0"/>
      </w:pPr>
      <w:r>
        <w:t xml:space="preserve"> </w:t>
      </w:r>
    </w:p>
    <w:p w14:paraId="39F5C37D" w14:textId="77777777" w:rsidR="008D6E67" w:rsidRDefault="00EF0909">
      <w:pPr>
        <w:ind w:left="-5" w:right="23"/>
      </w:pPr>
      <w:r>
        <w:t xml:space="preserve">It is the University’s intention that this role description is seen as a guide to the major areas and duties for which the post holder is accountable.  However, the business will </w:t>
      </w:r>
      <w:proofErr w:type="gramStart"/>
      <w:r>
        <w:t>change</w:t>
      </w:r>
      <w:proofErr w:type="gramEnd"/>
      <w:r>
        <w:t xml:space="preserve"> and the post holder’s obligations will vary and develop.  The description should be seen as a guide and not as a permanent, </w:t>
      </w:r>
      <w:proofErr w:type="gramStart"/>
      <w:r>
        <w:t>definitive</w:t>
      </w:r>
      <w:proofErr w:type="gramEnd"/>
      <w:r>
        <w:t xml:space="preserve"> and exhaustive statement.  </w:t>
      </w:r>
    </w:p>
    <w:p w14:paraId="76BB24EC" w14:textId="77777777" w:rsidR="00E43313" w:rsidRDefault="00E43313">
      <w:pPr>
        <w:ind w:left="-5" w:right="23"/>
      </w:pPr>
    </w:p>
    <w:p w14:paraId="5DF9F5D8" w14:textId="77777777" w:rsidR="00E43313" w:rsidRPr="003E2E9C" w:rsidRDefault="00E43313" w:rsidP="00E43313">
      <w:pPr>
        <w:rPr>
          <w:rFonts w:cs="Arial"/>
          <w:b/>
          <w:bCs/>
          <w:snapToGrid w:val="0"/>
          <w:szCs w:val="20"/>
          <w:lang w:eastAsia="en-US"/>
        </w:rPr>
      </w:pPr>
      <w:r w:rsidRPr="003E2E9C">
        <w:rPr>
          <w:rFonts w:cs="Arial"/>
          <w:b/>
          <w:bCs/>
          <w:snapToGrid w:val="0"/>
          <w:szCs w:val="20"/>
          <w:lang w:eastAsia="en-US"/>
        </w:rPr>
        <w:t xml:space="preserve">Providing an Inclusive Environment: </w:t>
      </w:r>
    </w:p>
    <w:p w14:paraId="59595495" w14:textId="77777777" w:rsidR="00E43313" w:rsidRPr="003E2E9C" w:rsidRDefault="00E43313" w:rsidP="00E43313">
      <w:pPr>
        <w:rPr>
          <w:rFonts w:cs="Arial"/>
          <w:snapToGrid w:val="0"/>
          <w:szCs w:val="20"/>
          <w:lang w:eastAsia="en-US"/>
        </w:rPr>
      </w:pPr>
    </w:p>
    <w:p w14:paraId="530EAE4C" w14:textId="77777777" w:rsidR="00E43313" w:rsidRPr="003E2E9C" w:rsidRDefault="00E43313" w:rsidP="00E43313">
      <w:pPr>
        <w:rPr>
          <w:rFonts w:cs="Arial"/>
          <w:snapToGrid w:val="0"/>
          <w:szCs w:val="20"/>
          <w:lang w:eastAsia="en-US"/>
        </w:rPr>
      </w:pPr>
      <w:r w:rsidRPr="003E2E9C">
        <w:rPr>
          <w:rFonts w:cs="Arial"/>
          <w:snapToGrid w:val="0"/>
          <w:szCs w:val="20"/>
          <w:lang w:eastAsia="en-US"/>
        </w:rPr>
        <w:t xml:space="preserve">The University of Cumbria is committed to providing an inclusive environment, where staff, students and visitors are encouraged to be their true self, </w:t>
      </w:r>
      <w:proofErr w:type="gramStart"/>
      <w:r w:rsidRPr="003E2E9C">
        <w:rPr>
          <w:rFonts w:cs="Arial"/>
          <w:snapToGrid w:val="0"/>
          <w:szCs w:val="20"/>
          <w:lang w:eastAsia="en-US"/>
        </w:rPr>
        <w:t>in order to</w:t>
      </w:r>
      <w:proofErr w:type="gramEnd"/>
      <w:r w:rsidRPr="003E2E9C">
        <w:rPr>
          <w:rFonts w:cs="Arial"/>
          <w:snapToGrid w:val="0"/>
          <w:szCs w:val="20"/>
          <w:lang w:eastAsia="en-US"/>
        </w:rPr>
        <w:t xml:space="preserve"> enhance the individual and collective experience. As a university community, we share the social responsibility of enabling this inclusive environment by valuing, respecting, and celebrating differences, to ensure that we generate a sense of understanding and belonging. </w:t>
      </w:r>
    </w:p>
    <w:p w14:paraId="75416F1A" w14:textId="77777777" w:rsidR="00E43313" w:rsidRPr="003E2E9C" w:rsidRDefault="00E43313" w:rsidP="00E43313">
      <w:pPr>
        <w:rPr>
          <w:rFonts w:cs="Arial"/>
          <w:snapToGrid w:val="0"/>
          <w:szCs w:val="20"/>
          <w:lang w:eastAsia="en-US"/>
        </w:rPr>
      </w:pPr>
    </w:p>
    <w:p w14:paraId="6A501BF3" w14:textId="77777777" w:rsidR="00E43313" w:rsidRPr="003E2E9C" w:rsidRDefault="00E43313" w:rsidP="00E43313">
      <w:pPr>
        <w:rPr>
          <w:rFonts w:cs="Arial"/>
          <w:snapToGrid w:val="0"/>
          <w:szCs w:val="20"/>
          <w:lang w:eastAsia="en-US"/>
        </w:rPr>
      </w:pPr>
      <w:r w:rsidRPr="003E2E9C">
        <w:rPr>
          <w:rFonts w:cs="Arial"/>
          <w:snapToGrid w:val="0"/>
          <w:szCs w:val="20"/>
          <w:lang w:eastAsia="en-US"/>
        </w:rPr>
        <w:t xml:space="preserve">The university recognises that our differences are our strength, seeking and valuing different perspectives and ideas, in an environment that is without prejudice and bias. </w:t>
      </w:r>
    </w:p>
    <w:p w14:paraId="1E4D1B83" w14:textId="77777777" w:rsidR="00E43313" w:rsidRPr="003E2E9C" w:rsidRDefault="00E43313" w:rsidP="00E43313">
      <w:pPr>
        <w:rPr>
          <w:rFonts w:cs="Arial"/>
          <w:snapToGrid w:val="0"/>
          <w:szCs w:val="20"/>
          <w:lang w:eastAsia="en-US"/>
        </w:rPr>
      </w:pPr>
    </w:p>
    <w:p w14:paraId="0F252917" w14:textId="77777777" w:rsidR="00E43313" w:rsidRDefault="00E43313" w:rsidP="00E43313">
      <w:pPr>
        <w:rPr>
          <w:rFonts w:cs="Arial"/>
          <w:snapToGrid w:val="0"/>
          <w:szCs w:val="20"/>
          <w:lang w:eastAsia="en-US"/>
        </w:rPr>
      </w:pPr>
      <w:r w:rsidRPr="003E2E9C">
        <w:rPr>
          <w:rFonts w:cs="Arial"/>
          <w:snapToGrid w:val="0"/>
          <w:szCs w:val="20"/>
          <w:lang w:eastAsia="en-US"/>
        </w:rPr>
        <w:t>We are committed to embracing our responsibility as a facilitator of change and continue to develop our equality agenda in line with and, where appropriate, beyond the Equality Act 2010. We do not tolerate discrimination, bullying or harassment in any form on the grounds of age, disability, gender reassignment, marriage and civil partnership, pregnancy and maternity, race, religion or belief, sex, or sexual orientation.</w:t>
      </w:r>
    </w:p>
    <w:p w14:paraId="1FA6092F" w14:textId="77777777" w:rsidR="00E43313" w:rsidRPr="001C16EC" w:rsidRDefault="00E43313" w:rsidP="00E43313">
      <w:pPr>
        <w:jc w:val="both"/>
        <w:rPr>
          <w:rFonts w:cs="Arial"/>
          <w:snapToGrid w:val="0"/>
          <w:szCs w:val="20"/>
          <w:lang w:eastAsia="en-US"/>
        </w:rPr>
      </w:pPr>
    </w:p>
    <w:p w14:paraId="7FB80C6F" w14:textId="7DFF242E" w:rsidR="005E00CF" w:rsidRDefault="005E00CF">
      <w:pPr>
        <w:spacing w:after="160" w:line="259" w:lineRule="auto"/>
        <w:ind w:left="0" w:firstLine="0"/>
      </w:pPr>
    </w:p>
    <w:p w14:paraId="24596B0D" w14:textId="36CB8EE0" w:rsidR="008D6E67" w:rsidRDefault="008D6E67">
      <w:pPr>
        <w:spacing w:after="0" w:line="259" w:lineRule="auto"/>
        <w:ind w:left="0" w:firstLine="0"/>
      </w:pPr>
    </w:p>
    <w:tbl>
      <w:tblPr>
        <w:tblStyle w:val="TableGrid"/>
        <w:tblW w:w="10622" w:type="dxa"/>
        <w:tblInd w:w="-509" w:type="dxa"/>
        <w:tblCellMar>
          <w:top w:w="54" w:type="dxa"/>
          <w:left w:w="108" w:type="dxa"/>
        </w:tblCellMar>
        <w:tblLook w:val="04A0" w:firstRow="1" w:lastRow="0" w:firstColumn="1" w:lastColumn="0" w:noHBand="0" w:noVBand="1"/>
      </w:tblPr>
      <w:tblGrid>
        <w:gridCol w:w="6018"/>
        <w:gridCol w:w="1438"/>
        <w:gridCol w:w="3166"/>
      </w:tblGrid>
      <w:tr w:rsidR="008D6E67" w14:paraId="6C7977E4" w14:textId="77777777">
        <w:trPr>
          <w:trHeight w:val="502"/>
        </w:trPr>
        <w:tc>
          <w:tcPr>
            <w:tcW w:w="6018" w:type="dxa"/>
            <w:tcBorders>
              <w:top w:val="single" w:sz="6" w:space="0" w:color="000000"/>
              <w:left w:val="single" w:sz="6" w:space="0" w:color="000000"/>
              <w:bottom w:val="single" w:sz="6" w:space="0" w:color="000000"/>
              <w:right w:val="single" w:sz="6" w:space="0" w:color="000000"/>
            </w:tcBorders>
          </w:tcPr>
          <w:p w14:paraId="044F2CE1" w14:textId="77777777" w:rsidR="008D6E67" w:rsidRDefault="00EF0909">
            <w:pPr>
              <w:spacing w:after="0" w:line="259" w:lineRule="auto"/>
              <w:ind w:left="0" w:firstLine="0"/>
            </w:pPr>
            <w:r>
              <w:rPr>
                <w:b/>
              </w:rPr>
              <w:t xml:space="preserve">Criteria for Grade 4  </w:t>
            </w:r>
          </w:p>
          <w:p w14:paraId="6C79559A" w14:textId="77777777" w:rsidR="008D6E67" w:rsidRDefault="00EF0909">
            <w:pPr>
              <w:spacing w:after="0" w:line="259" w:lineRule="auto"/>
              <w:ind w:left="0" w:firstLine="0"/>
            </w:pPr>
            <w:r>
              <w:rPr>
                <w:b/>
              </w:rPr>
              <w:t xml:space="preserve">Role Title:  Student Engagement Co-ordinator </w:t>
            </w:r>
          </w:p>
        </w:tc>
        <w:tc>
          <w:tcPr>
            <w:tcW w:w="1438" w:type="dxa"/>
            <w:tcBorders>
              <w:top w:val="single" w:sz="6" w:space="0" w:color="000000"/>
              <w:left w:val="single" w:sz="6" w:space="0" w:color="000000"/>
              <w:bottom w:val="single" w:sz="6" w:space="0" w:color="000000"/>
              <w:right w:val="single" w:sz="6" w:space="0" w:color="000000"/>
            </w:tcBorders>
          </w:tcPr>
          <w:p w14:paraId="05D5F90C" w14:textId="77777777" w:rsidR="008D6E67" w:rsidRDefault="00EF0909">
            <w:pPr>
              <w:spacing w:after="0" w:line="259" w:lineRule="auto"/>
              <w:ind w:left="68" w:hanging="46"/>
            </w:pPr>
            <w:r>
              <w:rPr>
                <w:b/>
              </w:rPr>
              <w:t>Essential/ Desirable</w:t>
            </w:r>
            <w:r>
              <w:t xml:space="preserve"> </w:t>
            </w:r>
          </w:p>
        </w:tc>
        <w:tc>
          <w:tcPr>
            <w:tcW w:w="3166" w:type="dxa"/>
            <w:tcBorders>
              <w:top w:val="single" w:sz="6" w:space="0" w:color="000000"/>
              <w:left w:val="single" w:sz="6" w:space="0" w:color="000000"/>
              <w:bottom w:val="single" w:sz="6" w:space="0" w:color="000000"/>
              <w:right w:val="single" w:sz="6" w:space="0" w:color="000000"/>
            </w:tcBorders>
          </w:tcPr>
          <w:p w14:paraId="7CBFFDD3" w14:textId="77777777" w:rsidR="008D6E67" w:rsidRDefault="00EF0909">
            <w:pPr>
              <w:spacing w:after="0" w:line="259" w:lineRule="auto"/>
              <w:ind w:left="0" w:firstLine="0"/>
            </w:pPr>
            <w:r>
              <w:rPr>
                <w:b/>
              </w:rPr>
              <w:t>To be identified by:</w:t>
            </w:r>
            <w:r>
              <w:rPr>
                <w:b/>
                <w:i/>
              </w:rPr>
              <w:t xml:space="preserve"> </w:t>
            </w:r>
          </w:p>
        </w:tc>
      </w:tr>
      <w:tr w:rsidR="008D6E67" w14:paraId="06B12B8B" w14:textId="77777777">
        <w:trPr>
          <w:trHeight w:val="1716"/>
        </w:trPr>
        <w:tc>
          <w:tcPr>
            <w:tcW w:w="6018" w:type="dxa"/>
            <w:tcBorders>
              <w:top w:val="single" w:sz="6" w:space="0" w:color="000000"/>
              <w:left w:val="single" w:sz="6" w:space="0" w:color="000000"/>
              <w:bottom w:val="single" w:sz="6" w:space="0" w:color="000000"/>
              <w:right w:val="single" w:sz="6" w:space="0" w:color="000000"/>
            </w:tcBorders>
          </w:tcPr>
          <w:p w14:paraId="0AF969EE" w14:textId="77777777" w:rsidR="008D6E67" w:rsidRDefault="00EF0909">
            <w:pPr>
              <w:spacing w:after="0" w:line="259" w:lineRule="auto"/>
              <w:ind w:left="0" w:firstLine="0"/>
            </w:pPr>
            <w:r>
              <w:rPr>
                <w:b/>
              </w:rPr>
              <w:t xml:space="preserve">Qualifications </w:t>
            </w:r>
          </w:p>
          <w:p w14:paraId="1D618BEE" w14:textId="77777777" w:rsidR="008D6E67" w:rsidRDefault="00EF0909">
            <w:pPr>
              <w:spacing w:after="0" w:line="259" w:lineRule="auto"/>
              <w:ind w:left="0" w:firstLine="0"/>
            </w:pPr>
            <w:r>
              <w:t xml:space="preserve"> </w:t>
            </w:r>
          </w:p>
          <w:p w14:paraId="4241F357" w14:textId="77777777" w:rsidR="008D6E67" w:rsidRDefault="00EF0909">
            <w:pPr>
              <w:spacing w:after="0" w:line="240" w:lineRule="auto"/>
              <w:ind w:left="0" w:firstLine="0"/>
            </w:pPr>
            <w:r>
              <w:t xml:space="preserve">Education to RQF Level 2 (GCSE Grade C or above, or equivalent) standard in English and Mathematics. </w:t>
            </w:r>
          </w:p>
          <w:p w14:paraId="77212E30" w14:textId="77777777" w:rsidR="008D6E67" w:rsidRDefault="00EF0909">
            <w:pPr>
              <w:spacing w:after="0" w:line="259" w:lineRule="auto"/>
              <w:ind w:left="0" w:firstLine="0"/>
            </w:pPr>
            <w:r>
              <w:t xml:space="preserve"> </w:t>
            </w:r>
          </w:p>
          <w:p w14:paraId="4EF5E29E" w14:textId="77777777" w:rsidR="008D6E67" w:rsidRDefault="00EF0909">
            <w:pPr>
              <w:spacing w:after="0" w:line="259" w:lineRule="auto"/>
              <w:ind w:left="0" w:firstLine="0"/>
            </w:pPr>
            <w:r>
              <w:t xml:space="preserve">Educated to degree level (Level 6)  </w:t>
            </w:r>
          </w:p>
          <w:p w14:paraId="4A03B8EA" w14:textId="77777777" w:rsidR="008D6E67" w:rsidRDefault="00EF0909">
            <w:pPr>
              <w:spacing w:after="0" w:line="259" w:lineRule="auto"/>
              <w:ind w:left="0" w:firstLine="0"/>
            </w:pPr>
            <w:r>
              <w:t xml:space="preserve"> </w:t>
            </w:r>
          </w:p>
        </w:tc>
        <w:tc>
          <w:tcPr>
            <w:tcW w:w="1438" w:type="dxa"/>
            <w:tcBorders>
              <w:top w:val="single" w:sz="6" w:space="0" w:color="000000"/>
              <w:left w:val="single" w:sz="6" w:space="0" w:color="000000"/>
              <w:bottom w:val="single" w:sz="6" w:space="0" w:color="000000"/>
              <w:right w:val="single" w:sz="6" w:space="0" w:color="000000"/>
            </w:tcBorders>
          </w:tcPr>
          <w:p w14:paraId="0BD9C9F8" w14:textId="77777777" w:rsidR="008D6E67" w:rsidRDefault="00EF0909">
            <w:pPr>
              <w:spacing w:after="0" w:line="259" w:lineRule="auto"/>
              <w:ind w:left="0" w:firstLine="0"/>
            </w:pPr>
            <w:r>
              <w:t xml:space="preserve"> </w:t>
            </w:r>
          </w:p>
          <w:p w14:paraId="3D25E438" w14:textId="77777777" w:rsidR="008D6E67" w:rsidRDefault="00EF0909">
            <w:pPr>
              <w:spacing w:after="0" w:line="259" w:lineRule="auto"/>
              <w:ind w:left="0" w:firstLine="0"/>
            </w:pPr>
            <w:r>
              <w:t xml:space="preserve"> </w:t>
            </w:r>
          </w:p>
          <w:p w14:paraId="71B109DD" w14:textId="77777777" w:rsidR="008D6E67" w:rsidRDefault="00EF0909">
            <w:pPr>
              <w:spacing w:after="0" w:line="259" w:lineRule="auto"/>
              <w:ind w:left="0" w:firstLine="0"/>
            </w:pPr>
            <w:r>
              <w:t xml:space="preserve">Essential </w:t>
            </w:r>
          </w:p>
          <w:p w14:paraId="2FD4551A" w14:textId="77777777" w:rsidR="008D6E67" w:rsidRDefault="00EF0909">
            <w:pPr>
              <w:spacing w:after="0" w:line="259" w:lineRule="auto"/>
              <w:ind w:left="0" w:firstLine="0"/>
            </w:pPr>
            <w:r>
              <w:t xml:space="preserve"> </w:t>
            </w:r>
          </w:p>
          <w:p w14:paraId="7FD19CFC" w14:textId="77777777" w:rsidR="008D6E67" w:rsidRDefault="00EF0909">
            <w:pPr>
              <w:spacing w:after="0" w:line="259" w:lineRule="auto"/>
              <w:ind w:left="0" w:firstLine="0"/>
            </w:pPr>
            <w:r>
              <w:t xml:space="preserve"> </w:t>
            </w:r>
          </w:p>
          <w:p w14:paraId="278067E2" w14:textId="77777777" w:rsidR="008D6E67" w:rsidRDefault="00EF0909">
            <w:pPr>
              <w:spacing w:after="0" w:line="259" w:lineRule="auto"/>
              <w:ind w:left="0" w:firstLine="0"/>
            </w:pPr>
            <w:r>
              <w:t xml:space="preserve">Essential </w:t>
            </w:r>
          </w:p>
        </w:tc>
        <w:tc>
          <w:tcPr>
            <w:tcW w:w="3166" w:type="dxa"/>
            <w:tcBorders>
              <w:top w:val="single" w:sz="6" w:space="0" w:color="000000"/>
              <w:left w:val="single" w:sz="6" w:space="0" w:color="000000"/>
              <w:bottom w:val="single" w:sz="6" w:space="0" w:color="000000"/>
              <w:right w:val="single" w:sz="6" w:space="0" w:color="000000"/>
            </w:tcBorders>
          </w:tcPr>
          <w:p w14:paraId="041E1828" w14:textId="77777777" w:rsidR="008D6E67" w:rsidRDefault="00EF0909">
            <w:pPr>
              <w:spacing w:after="0" w:line="259" w:lineRule="auto"/>
              <w:ind w:left="0" w:firstLine="0"/>
            </w:pPr>
            <w:r>
              <w:t xml:space="preserve"> </w:t>
            </w:r>
          </w:p>
          <w:p w14:paraId="11915BD9" w14:textId="77777777" w:rsidR="008D6E67" w:rsidRDefault="00EF0909">
            <w:pPr>
              <w:spacing w:after="0" w:line="259" w:lineRule="auto"/>
              <w:ind w:left="0" w:firstLine="0"/>
            </w:pPr>
            <w:r>
              <w:t xml:space="preserve"> </w:t>
            </w:r>
          </w:p>
          <w:p w14:paraId="107D58D8" w14:textId="77777777" w:rsidR="008D6E67" w:rsidRDefault="00EF0909">
            <w:pPr>
              <w:spacing w:after="0" w:line="259" w:lineRule="auto"/>
              <w:ind w:left="0" w:firstLine="0"/>
            </w:pPr>
            <w:r>
              <w:t xml:space="preserve">Application Form </w:t>
            </w:r>
          </w:p>
          <w:p w14:paraId="33C6151C" w14:textId="77777777" w:rsidR="008D6E67" w:rsidRDefault="00EF0909">
            <w:pPr>
              <w:spacing w:after="0" w:line="259" w:lineRule="auto"/>
              <w:ind w:left="0" w:firstLine="0"/>
            </w:pPr>
            <w:r>
              <w:t xml:space="preserve"> </w:t>
            </w:r>
          </w:p>
          <w:p w14:paraId="5124A751" w14:textId="77777777" w:rsidR="008D6E67" w:rsidRDefault="00EF0909">
            <w:pPr>
              <w:spacing w:after="0" w:line="259" w:lineRule="auto"/>
              <w:ind w:left="0" w:firstLine="0"/>
            </w:pPr>
            <w:r>
              <w:t xml:space="preserve"> </w:t>
            </w:r>
          </w:p>
          <w:p w14:paraId="0633A798" w14:textId="77777777" w:rsidR="008D6E67" w:rsidRDefault="00EF0909">
            <w:pPr>
              <w:spacing w:after="0" w:line="259" w:lineRule="auto"/>
              <w:ind w:left="0" w:firstLine="0"/>
            </w:pPr>
            <w:r>
              <w:t xml:space="preserve">Application Form </w:t>
            </w:r>
          </w:p>
        </w:tc>
      </w:tr>
      <w:tr w:rsidR="008D6E67" w14:paraId="32723A7F" w14:textId="77777777" w:rsidTr="006B1BF7">
        <w:trPr>
          <w:trHeight w:val="4437"/>
        </w:trPr>
        <w:tc>
          <w:tcPr>
            <w:tcW w:w="6018" w:type="dxa"/>
            <w:tcBorders>
              <w:top w:val="single" w:sz="6" w:space="0" w:color="000000"/>
              <w:left w:val="single" w:sz="6" w:space="0" w:color="000000"/>
              <w:bottom w:val="single" w:sz="4" w:space="0" w:color="000000"/>
              <w:right w:val="single" w:sz="6" w:space="0" w:color="000000"/>
            </w:tcBorders>
          </w:tcPr>
          <w:p w14:paraId="55E0253F" w14:textId="77777777" w:rsidR="008D6E67" w:rsidRPr="00ED32DC" w:rsidRDefault="00EF0909" w:rsidP="00C23960">
            <w:pPr>
              <w:spacing w:after="0" w:line="259" w:lineRule="auto"/>
              <w:ind w:left="0" w:firstLine="0"/>
              <w:rPr>
                <w:szCs w:val="20"/>
              </w:rPr>
            </w:pPr>
            <w:r w:rsidRPr="00ED32DC">
              <w:rPr>
                <w:b/>
                <w:szCs w:val="20"/>
              </w:rPr>
              <w:t xml:space="preserve">Experience </w:t>
            </w:r>
          </w:p>
          <w:p w14:paraId="1301D31B" w14:textId="77777777" w:rsidR="008D6E67" w:rsidRPr="00ED32DC" w:rsidRDefault="00EF0909" w:rsidP="00C23960">
            <w:pPr>
              <w:spacing w:after="0" w:line="259" w:lineRule="auto"/>
              <w:ind w:left="0" w:firstLine="0"/>
              <w:rPr>
                <w:szCs w:val="20"/>
              </w:rPr>
            </w:pPr>
            <w:r w:rsidRPr="00ED32DC">
              <w:rPr>
                <w:szCs w:val="20"/>
              </w:rPr>
              <w:t xml:space="preserve"> </w:t>
            </w:r>
          </w:p>
          <w:p w14:paraId="4A7DF602" w14:textId="6AA773B2" w:rsidR="00827589" w:rsidRPr="00ED32DC" w:rsidRDefault="00827589" w:rsidP="00C23960">
            <w:pPr>
              <w:spacing w:after="0" w:line="241" w:lineRule="auto"/>
              <w:ind w:left="0" w:firstLine="0"/>
              <w:rPr>
                <w:szCs w:val="20"/>
              </w:rPr>
            </w:pPr>
            <w:r w:rsidRPr="00ED32DC">
              <w:rPr>
                <w:szCs w:val="20"/>
              </w:rPr>
              <w:t xml:space="preserve">Supporting or working with students in an educational setting, such as planning, co-ordinating or delivering interventions. </w:t>
            </w:r>
          </w:p>
          <w:p w14:paraId="008F520C" w14:textId="482579C4" w:rsidR="008D6E67" w:rsidRPr="00ED32DC" w:rsidRDefault="008D6E67" w:rsidP="00C23960">
            <w:pPr>
              <w:spacing w:after="0" w:line="259" w:lineRule="auto"/>
              <w:ind w:left="0" w:firstLine="0"/>
              <w:rPr>
                <w:szCs w:val="20"/>
              </w:rPr>
            </w:pPr>
          </w:p>
          <w:p w14:paraId="6D1B4BB9" w14:textId="51C513B9" w:rsidR="00ED32DC" w:rsidRDefault="00F2285D" w:rsidP="00C23960">
            <w:pPr>
              <w:spacing w:after="0" w:line="241" w:lineRule="auto"/>
              <w:ind w:left="0" w:right="69" w:firstLine="0"/>
              <w:rPr>
                <w:szCs w:val="20"/>
              </w:rPr>
            </w:pPr>
            <w:r w:rsidRPr="00F2285D">
              <w:rPr>
                <w:szCs w:val="20"/>
              </w:rPr>
              <w:t>Experienced administrator with the ability to deal with record keeping and information management systems. Good attention to detail with strong analytical skills, including the ability to understand numerical data. Ability to propose and implement improvements to systems and working methods.</w:t>
            </w:r>
          </w:p>
          <w:p w14:paraId="7A99313C" w14:textId="77777777" w:rsidR="00F2285D" w:rsidRPr="00ED32DC" w:rsidRDefault="00F2285D" w:rsidP="00C23960">
            <w:pPr>
              <w:spacing w:after="0" w:line="241" w:lineRule="auto"/>
              <w:ind w:left="0" w:right="69" w:firstLine="0"/>
              <w:rPr>
                <w:szCs w:val="20"/>
              </w:rPr>
            </w:pPr>
          </w:p>
          <w:p w14:paraId="154B3E4D" w14:textId="7745A823" w:rsidR="00115591" w:rsidRPr="00ED32DC" w:rsidRDefault="00ED32DC" w:rsidP="00C23960">
            <w:pPr>
              <w:spacing w:after="0" w:line="241" w:lineRule="auto"/>
              <w:ind w:left="0" w:right="69" w:firstLine="0"/>
              <w:rPr>
                <w:szCs w:val="20"/>
              </w:rPr>
            </w:pPr>
            <w:r w:rsidRPr="00ED32DC">
              <w:rPr>
                <w:szCs w:val="20"/>
              </w:rPr>
              <w:t>Experience of commonly used digital platforms or software</w:t>
            </w:r>
            <w:r w:rsidR="00172B35">
              <w:rPr>
                <w:szCs w:val="20"/>
              </w:rPr>
              <w:t>, such as Teams or Blackboard,</w:t>
            </w:r>
            <w:r w:rsidRPr="00ED32DC">
              <w:rPr>
                <w:szCs w:val="20"/>
              </w:rPr>
              <w:t xml:space="preserve"> and/or developing online content and interaction</w:t>
            </w:r>
            <w:r>
              <w:rPr>
                <w:szCs w:val="20"/>
              </w:rPr>
              <w:t>.</w:t>
            </w:r>
          </w:p>
        </w:tc>
        <w:tc>
          <w:tcPr>
            <w:tcW w:w="1438" w:type="dxa"/>
            <w:tcBorders>
              <w:top w:val="single" w:sz="6" w:space="0" w:color="000000"/>
              <w:left w:val="single" w:sz="6" w:space="0" w:color="000000"/>
              <w:bottom w:val="single" w:sz="4" w:space="0" w:color="000000"/>
              <w:right w:val="single" w:sz="6" w:space="0" w:color="000000"/>
            </w:tcBorders>
          </w:tcPr>
          <w:p w14:paraId="02A1BC56" w14:textId="77777777" w:rsidR="008D6E67" w:rsidRPr="00ED32DC" w:rsidRDefault="00EF0909" w:rsidP="00C23960">
            <w:pPr>
              <w:spacing w:after="0" w:line="259" w:lineRule="auto"/>
              <w:ind w:left="0" w:firstLine="0"/>
              <w:rPr>
                <w:szCs w:val="20"/>
              </w:rPr>
            </w:pPr>
            <w:r w:rsidRPr="00ED32DC">
              <w:rPr>
                <w:szCs w:val="20"/>
              </w:rPr>
              <w:t xml:space="preserve"> </w:t>
            </w:r>
          </w:p>
          <w:p w14:paraId="11C2DC3D" w14:textId="77777777" w:rsidR="008D6E67" w:rsidRPr="00ED32DC" w:rsidRDefault="00EF0909" w:rsidP="00C23960">
            <w:pPr>
              <w:spacing w:after="0" w:line="259" w:lineRule="auto"/>
              <w:ind w:left="0" w:firstLine="0"/>
              <w:rPr>
                <w:szCs w:val="20"/>
              </w:rPr>
            </w:pPr>
            <w:r w:rsidRPr="00ED32DC">
              <w:rPr>
                <w:szCs w:val="20"/>
              </w:rPr>
              <w:t xml:space="preserve"> </w:t>
            </w:r>
          </w:p>
          <w:p w14:paraId="7B87D9B4" w14:textId="77777777" w:rsidR="008D6E67" w:rsidRPr="00ED32DC" w:rsidRDefault="00EF0909" w:rsidP="00C23960">
            <w:pPr>
              <w:spacing w:after="0" w:line="259" w:lineRule="auto"/>
              <w:ind w:left="0" w:firstLine="0"/>
              <w:rPr>
                <w:szCs w:val="20"/>
              </w:rPr>
            </w:pPr>
            <w:r w:rsidRPr="00ED32DC">
              <w:rPr>
                <w:szCs w:val="20"/>
              </w:rPr>
              <w:t xml:space="preserve">Essential </w:t>
            </w:r>
          </w:p>
          <w:p w14:paraId="25B7B6CE" w14:textId="77777777" w:rsidR="008D6E67" w:rsidRPr="00ED32DC" w:rsidRDefault="00EF0909" w:rsidP="00C23960">
            <w:pPr>
              <w:spacing w:after="0" w:line="259" w:lineRule="auto"/>
              <w:ind w:left="0" w:firstLine="0"/>
              <w:rPr>
                <w:szCs w:val="20"/>
              </w:rPr>
            </w:pPr>
            <w:r w:rsidRPr="00ED32DC">
              <w:rPr>
                <w:szCs w:val="20"/>
              </w:rPr>
              <w:t xml:space="preserve"> </w:t>
            </w:r>
          </w:p>
          <w:p w14:paraId="7A7B70D6" w14:textId="03421CDA" w:rsidR="008D6E67" w:rsidRPr="00ED32DC" w:rsidRDefault="00EF0909" w:rsidP="00C23960">
            <w:pPr>
              <w:spacing w:after="0" w:line="259" w:lineRule="auto"/>
              <w:ind w:left="0" w:firstLine="0"/>
              <w:rPr>
                <w:szCs w:val="20"/>
              </w:rPr>
            </w:pPr>
            <w:r w:rsidRPr="00ED32DC">
              <w:rPr>
                <w:szCs w:val="20"/>
              </w:rPr>
              <w:t xml:space="preserve"> </w:t>
            </w:r>
          </w:p>
          <w:p w14:paraId="780A4AF8" w14:textId="5D841231" w:rsidR="00F2285D" w:rsidRDefault="00EF0909" w:rsidP="00C23960">
            <w:pPr>
              <w:spacing w:after="0" w:line="259" w:lineRule="auto"/>
              <w:ind w:left="0" w:firstLine="0"/>
              <w:rPr>
                <w:szCs w:val="20"/>
              </w:rPr>
            </w:pPr>
            <w:r w:rsidRPr="00ED32DC">
              <w:rPr>
                <w:szCs w:val="20"/>
              </w:rPr>
              <w:t xml:space="preserve"> </w:t>
            </w:r>
          </w:p>
          <w:p w14:paraId="282D8DFF" w14:textId="39DB7994" w:rsidR="008D6E67" w:rsidRPr="00ED32DC" w:rsidRDefault="00DE56E1" w:rsidP="00C23960">
            <w:pPr>
              <w:spacing w:after="0" w:line="259" w:lineRule="auto"/>
              <w:ind w:left="0" w:firstLine="0"/>
              <w:rPr>
                <w:szCs w:val="20"/>
              </w:rPr>
            </w:pPr>
            <w:r w:rsidRPr="00ED32DC">
              <w:rPr>
                <w:szCs w:val="20"/>
              </w:rPr>
              <w:t>Essential</w:t>
            </w:r>
          </w:p>
          <w:p w14:paraId="33D3FB1B" w14:textId="132075F4" w:rsidR="00ED32DC" w:rsidRPr="00ED32DC" w:rsidRDefault="00ED32DC" w:rsidP="00C23960">
            <w:pPr>
              <w:spacing w:after="0" w:line="259" w:lineRule="auto"/>
              <w:ind w:left="0" w:firstLine="0"/>
              <w:rPr>
                <w:szCs w:val="20"/>
              </w:rPr>
            </w:pPr>
          </w:p>
          <w:p w14:paraId="5F59BAD9" w14:textId="77777777" w:rsidR="00ED32DC" w:rsidRDefault="00ED32DC" w:rsidP="00C23960">
            <w:pPr>
              <w:spacing w:after="0" w:line="259" w:lineRule="auto"/>
              <w:ind w:left="0" w:firstLine="0"/>
              <w:rPr>
                <w:szCs w:val="20"/>
              </w:rPr>
            </w:pPr>
          </w:p>
          <w:p w14:paraId="3842B4F3" w14:textId="77777777" w:rsidR="00F2285D" w:rsidRDefault="00F2285D" w:rsidP="00C23960">
            <w:pPr>
              <w:spacing w:after="0" w:line="259" w:lineRule="auto"/>
              <w:ind w:left="0" w:firstLine="0"/>
              <w:rPr>
                <w:szCs w:val="20"/>
              </w:rPr>
            </w:pPr>
          </w:p>
          <w:p w14:paraId="04498D74" w14:textId="77777777" w:rsidR="00F2285D" w:rsidRDefault="00F2285D" w:rsidP="00C23960">
            <w:pPr>
              <w:spacing w:after="0" w:line="259" w:lineRule="auto"/>
              <w:ind w:left="0" w:firstLine="0"/>
              <w:rPr>
                <w:szCs w:val="20"/>
              </w:rPr>
            </w:pPr>
          </w:p>
          <w:p w14:paraId="4B34C5ED" w14:textId="77777777" w:rsidR="00C23960" w:rsidRDefault="00C23960" w:rsidP="00C23960">
            <w:pPr>
              <w:spacing w:after="0" w:line="259" w:lineRule="auto"/>
              <w:ind w:left="0" w:firstLine="0"/>
              <w:rPr>
                <w:szCs w:val="20"/>
              </w:rPr>
            </w:pPr>
          </w:p>
          <w:p w14:paraId="4898E5A0" w14:textId="77777777" w:rsidR="00F2285D" w:rsidRPr="00ED32DC" w:rsidRDefault="00F2285D" w:rsidP="00C23960">
            <w:pPr>
              <w:spacing w:after="0" w:line="259" w:lineRule="auto"/>
              <w:ind w:left="0" w:firstLine="0"/>
              <w:rPr>
                <w:szCs w:val="20"/>
              </w:rPr>
            </w:pPr>
          </w:p>
          <w:p w14:paraId="6DCC62D0" w14:textId="41C21A2F" w:rsidR="008D6E67" w:rsidRPr="00ED32DC" w:rsidRDefault="00ED32DC" w:rsidP="00C23960">
            <w:pPr>
              <w:spacing w:after="0" w:line="259" w:lineRule="auto"/>
              <w:ind w:left="0" w:firstLine="0"/>
              <w:rPr>
                <w:szCs w:val="20"/>
              </w:rPr>
            </w:pPr>
            <w:r w:rsidRPr="00ED32DC">
              <w:rPr>
                <w:szCs w:val="20"/>
              </w:rPr>
              <w:t>Desirable</w:t>
            </w:r>
          </w:p>
        </w:tc>
        <w:tc>
          <w:tcPr>
            <w:tcW w:w="3166" w:type="dxa"/>
            <w:tcBorders>
              <w:top w:val="single" w:sz="6" w:space="0" w:color="000000"/>
              <w:left w:val="single" w:sz="6" w:space="0" w:color="000000"/>
              <w:bottom w:val="single" w:sz="4" w:space="0" w:color="000000"/>
              <w:right w:val="single" w:sz="6" w:space="0" w:color="000000"/>
            </w:tcBorders>
          </w:tcPr>
          <w:p w14:paraId="54F7BC06" w14:textId="77777777" w:rsidR="008D6E67" w:rsidRPr="00ED32DC" w:rsidRDefault="00EF0909" w:rsidP="00C23960">
            <w:pPr>
              <w:spacing w:after="0" w:line="259" w:lineRule="auto"/>
              <w:ind w:left="0" w:firstLine="0"/>
              <w:rPr>
                <w:szCs w:val="20"/>
              </w:rPr>
            </w:pPr>
            <w:r w:rsidRPr="00ED32DC">
              <w:rPr>
                <w:szCs w:val="20"/>
              </w:rPr>
              <w:t xml:space="preserve"> </w:t>
            </w:r>
          </w:p>
          <w:p w14:paraId="3EF512C3" w14:textId="77777777" w:rsidR="008D6E67" w:rsidRPr="00ED32DC" w:rsidRDefault="00EF0909" w:rsidP="00C23960">
            <w:pPr>
              <w:spacing w:after="0" w:line="259" w:lineRule="auto"/>
              <w:ind w:left="0" w:firstLine="0"/>
              <w:rPr>
                <w:szCs w:val="20"/>
              </w:rPr>
            </w:pPr>
            <w:r w:rsidRPr="00ED32DC">
              <w:rPr>
                <w:szCs w:val="20"/>
              </w:rPr>
              <w:t xml:space="preserve"> </w:t>
            </w:r>
          </w:p>
          <w:p w14:paraId="5ADDA1D9" w14:textId="77777777" w:rsidR="008D6E67" w:rsidRPr="00ED32DC" w:rsidRDefault="00EF0909" w:rsidP="00C23960">
            <w:pPr>
              <w:spacing w:after="0" w:line="259" w:lineRule="auto"/>
              <w:ind w:left="0" w:firstLine="0"/>
              <w:rPr>
                <w:szCs w:val="20"/>
              </w:rPr>
            </w:pPr>
            <w:r w:rsidRPr="00ED32DC">
              <w:rPr>
                <w:szCs w:val="20"/>
              </w:rPr>
              <w:t xml:space="preserve">Supporting statement </w:t>
            </w:r>
          </w:p>
          <w:p w14:paraId="0396E7F7" w14:textId="77777777" w:rsidR="008D6E67" w:rsidRPr="00ED32DC" w:rsidRDefault="00EF0909" w:rsidP="00C23960">
            <w:pPr>
              <w:spacing w:after="0" w:line="259" w:lineRule="auto"/>
              <w:ind w:left="0" w:firstLine="0"/>
              <w:rPr>
                <w:szCs w:val="20"/>
              </w:rPr>
            </w:pPr>
            <w:r w:rsidRPr="00ED32DC">
              <w:rPr>
                <w:szCs w:val="20"/>
              </w:rPr>
              <w:t xml:space="preserve">/Interview </w:t>
            </w:r>
          </w:p>
          <w:p w14:paraId="4F4D91F2" w14:textId="77777777" w:rsidR="008D6E67" w:rsidRPr="00ED32DC" w:rsidRDefault="00EF0909" w:rsidP="00C23960">
            <w:pPr>
              <w:spacing w:after="0" w:line="259" w:lineRule="auto"/>
              <w:ind w:left="0" w:firstLine="0"/>
              <w:rPr>
                <w:szCs w:val="20"/>
              </w:rPr>
            </w:pPr>
            <w:r w:rsidRPr="00ED32DC">
              <w:rPr>
                <w:szCs w:val="20"/>
              </w:rPr>
              <w:t xml:space="preserve"> </w:t>
            </w:r>
          </w:p>
          <w:p w14:paraId="21B43552" w14:textId="7A0404D1" w:rsidR="008D6E67" w:rsidRPr="00ED32DC" w:rsidRDefault="00EF0909" w:rsidP="00C23960">
            <w:pPr>
              <w:spacing w:after="0" w:line="259" w:lineRule="auto"/>
              <w:ind w:left="0" w:firstLine="0"/>
              <w:rPr>
                <w:szCs w:val="20"/>
              </w:rPr>
            </w:pPr>
            <w:r w:rsidRPr="00ED32DC">
              <w:rPr>
                <w:szCs w:val="20"/>
              </w:rPr>
              <w:t xml:space="preserve">  </w:t>
            </w:r>
          </w:p>
          <w:p w14:paraId="7900329D" w14:textId="77777777" w:rsidR="00F2285D" w:rsidRPr="00ED32DC" w:rsidRDefault="00F2285D" w:rsidP="00C23960">
            <w:pPr>
              <w:spacing w:after="0" w:line="259" w:lineRule="auto"/>
              <w:ind w:left="0" w:firstLine="0"/>
              <w:rPr>
                <w:szCs w:val="20"/>
              </w:rPr>
            </w:pPr>
            <w:r w:rsidRPr="00ED32DC">
              <w:rPr>
                <w:szCs w:val="20"/>
              </w:rPr>
              <w:t xml:space="preserve">Supporting statement </w:t>
            </w:r>
          </w:p>
          <w:p w14:paraId="17A2B7AF" w14:textId="77777777" w:rsidR="00F2285D" w:rsidRPr="00ED32DC" w:rsidRDefault="00F2285D" w:rsidP="00C23960">
            <w:pPr>
              <w:spacing w:after="0" w:line="259" w:lineRule="auto"/>
              <w:ind w:left="0" w:firstLine="0"/>
              <w:rPr>
                <w:szCs w:val="20"/>
              </w:rPr>
            </w:pPr>
            <w:r w:rsidRPr="00ED32DC">
              <w:rPr>
                <w:szCs w:val="20"/>
              </w:rPr>
              <w:t xml:space="preserve">/Interview </w:t>
            </w:r>
          </w:p>
          <w:p w14:paraId="5613C7AA" w14:textId="77777777" w:rsidR="008D6E67" w:rsidRDefault="00EF0909" w:rsidP="00C23960">
            <w:pPr>
              <w:spacing w:after="0" w:line="259" w:lineRule="auto"/>
              <w:ind w:left="0" w:firstLine="0"/>
              <w:rPr>
                <w:szCs w:val="20"/>
              </w:rPr>
            </w:pPr>
            <w:r w:rsidRPr="00ED32DC">
              <w:rPr>
                <w:szCs w:val="20"/>
              </w:rPr>
              <w:t xml:space="preserve"> </w:t>
            </w:r>
          </w:p>
          <w:p w14:paraId="29801ABC" w14:textId="77777777" w:rsidR="00F2285D" w:rsidRDefault="00F2285D" w:rsidP="00C23960">
            <w:pPr>
              <w:spacing w:after="0" w:line="259" w:lineRule="auto"/>
              <w:ind w:left="0" w:firstLine="0"/>
              <w:rPr>
                <w:szCs w:val="20"/>
              </w:rPr>
            </w:pPr>
          </w:p>
          <w:p w14:paraId="1B175142" w14:textId="77777777" w:rsidR="00F2285D" w:rsidRDefault="00F2285D" w:rsidP="00C23960">
            <w:pPr>
              <w:spacing w:after="0" w:line="259" w:lineRule="auto"/>
              <w:ind w:left="0" w:firstLine="0"/>
              <w:rPr>
                <w:szCs w:val="20"/>
              </w:rPr>
            </w:pPr>
          </w:p>
          <w:p w14:paraId="251A2E40" w14:textId="77777777" w:rsidR="00C23960" w:rsidRDefault="00C23960" w:rsidP="00C23960">
            <w:pPr>
              <w:spacing w:after="0" w:line="259" w:lineRule="auto"/>
              <w:ind w:left="0" w:firstLine="0"/>
              <w:rPr>
                <w:szCs w:val="20"/>
              </w:rPr>
            </w:pPr>
          </w:p>
          <w:p w14:paraId="3776EC36" w14:textId="77777777" w:rsidR="00F2285D" w:rsidRPr="00ED32DC" w:rsidRDefault="00F2285D" w:rsidP="00C23960">
            <w:pPr>
              <w:spacing w:after="0" w:line="259" w:lineRule="auto"/>
              <w:ind w:left="0" w:firstLine="0"/>
              <w:rPr>
                <w:szCs w:val="20"/>
              </w:rPr>
            </w:pPr>
          </w:p>
          <w:p w14:paraId="04079881" w14:textId="173C7658" w:rsidR="008D6E67" w:rsidRPr="00ED32DC" w:rsidRDefault="00EF0909" w:rsidP="00C23960">
            <w:pPr>
              <w:spacing w:after="0" w:line="259" w:lineRule="auto"/>
              <w:ind w:left="0" w:firstLine="0"/>
              <w:rPr>
                <w:szCs w:val="20"/>
              </w:rPr>
            </w:pPr>
            <w:r w:rsidRPr="00ED32DC">
              <w:rPr>
                <w:szCs w:val="20"/>
              </w:rPr>
              <w:t xml:space="preserve">Interview </w:t>
            </w:r>
          </w:p>
        </w:tc>
      </w:tr>
      <w:tr w:rsidR="008D6E67" w14:paraId="5C590572" w14:textId="77777777" w:rsidTr="00C23960">
        <w:trPr>
          <w:trHeight w:val="5465"/>
        </w:trPr>
        <w:tc>
          <w:tcPr>
            <w:tcW w:w="6018" w:type="dxa"/>
            <w:tcBorders>
              <w:top w:val="single" w:sz="4" w:space="0" w:color="000000"/>
              <w:left w:val="single" w:sz="4" w:space="0" w:color="000000"/>
              <w:bottom w:val="single" w:sz="4" w:space="0" w:color="000000"/>
              <w:right w:val="single" w:sz="4" w:space="0" w:color="000000"/>
            </w:tcBorders>
            <w:vAlign w:val="center"/>
          </w:tcPr>
          <w:p w14:paraId="3D92FA97" w14:textId="0739C0E3" w:rsidR="00C23960" w:rsidRDefault="00066E83" w:rsidP="00C23960">
            <w:pPr>
              <w:spacing w:after="0" w:line="240" w:lineRule="auto"/>
              <w:ind w:left="0" w:firstLine="0"/>
              <w:rPr>
                <w:b/>
                <w:szCs w:val="20"/>
              </w:rPr>
            </w:pPr>
            <w:r w:rsidRPr="00115591">
              <w:rPr>
                <w:b/>
                <w:szCs w:val="20"/>
              </w:rPr>
              <w:t>K</w:t>
            </w:r>
            <w:r w:rsidR="00EF0909" w:rsidRPr="00115591">
              <w:rPr>
                <w:b/>
                <w:szCs w:val="20"/>
              </w:rPr>
              <w:t xml:space="preserve">nowledge, </w:t>
            </w:r>
            <w:proofErr w:type="gramStart"/>
            <w:r w:rsidR="00EF0909" w:rsidRPr="00115591">
              <w:rPr>
                <w:b/>
                <w:szCs w:val="20"/>
              </w:rPr>
              <w:t>skills</w:t>
            </w:r>
            <w:proofErr w:type="gramEnd"/>
            <w:r w:rsidR="00EF0909" w:rsidRPr="00115591">
              <w:rPr>
                <w:b/>
                <w:szCs w:val="20"/>
              </w:rPr>
              <w:t xml:space="preserve"> an</w:t>
            </w:r>
            <w:r w:rsidRPr="00115591">
              <w:rPr>
                <w:b/>
                <w:szCs w:val="20"/>
              </w:rPr>
              <w:t>d</w:t>
            </w:r>
            <w:r w:rsidR="00EF0909" w:rsidRPr="00115591">
              <w:rPr>
                <w:b/>
                <w:szCs w:val="20"/>
              </w:rPr>
              <w:t xml:space="preserve"> abilities </w:t>
            </w:r>
          </w:p>
          <w:p w14:paraId="194AE9F0" w14:textId="77777777" w:rsidR="00C23960" w:rsidRPr="00ED32DC" w:rsidRDefault="00C23960" w:rsidP="00C23960">
            <w:pPr>
              <w:spacing w:after="0" w:line="240" w:lineRule="auto"/>
              <w:ind w:left="0" w:firstLine="0"/>
              <w:rPr>
                <w:szCs w:val="20"/>
              </w:rPr>
            </w:pPr>
            <w:r>
              <w:rPr>
                <w:szCs w:val="20"/>
              </w:rPr>
              <w:t>Awareness and u</w:t>
            </w:r>
            <w:r w:rsidRPr="00ED32DC">
              <w:rPr>
                <w:szCs w:val="20"/>
              </w:rPr>
              <w:t>nderstanding of potential challenges facing diverse learners</w:t>
            </w:r>
            <w:r>
              <w:rPr>
                <w:szCs w:val="20"/>
              </w:rPr>
              <w:t>,</w:t>
            </w:r>
            <w:r w:rsidRPr="00ED32DC">
              <w:rPr>
                <w:szCs w:val="20"/>
              </w:rPr>
              <w:t xml:space="preserve"> </w:t>
            </w:r>
            <w:r w:rsidRPr="00F2285D">
              <w:rPr>
                <w:szCs w:val="20"/>
              </w:rPr>
              <w:t xml:space="preserve">including support for student retention, progression and </w:t>
            </w:r>
            <w:proofErr w:type="gramStart"/>
            <w:r w:rsidRPr="00F2285D">
              <w:rPr>
                <w:szCs w:val="20"/>
              </w:rPr>
              <w:t>success</w:t>
            </w:r>
            <w:proofErr w:type="gramEnd"/>
          </w:p>
          <w:p w14:paraId="1E0AA439" w14:textId="77777777" w:rsidR="00C23960" w:rsidRDefault="00C23960" w:rsidP="00C23960">
            <w:pPr>
              <w:spacing w:after="0" w:line="240" w:lineRule="auto"/>
              <w:ind w:left="0" w:firstLine="0"/>
              <w:rPr>
                <w:b/>
                <w:szCs w:val="20"/>
              </w:rPr>
            </w:pPr>
          </w:p>
          <w:p w14:paraId="2BC3D485" w14:textId="6AEED399" w:rsidR="00F2285D" w:rsidRDefault="00F2285D" w:rsidP="00C23960">
            <w:pPr>
              <w:spacing w:after="0" w:line="240" w:lineRule="auto"/>
              <w:ind w:left="0" w:firstLine="0"/>
              <w:rPr>
                <w:szCs w:val="20"/>
              </w:rPr>
            </w:pPr>
            <w:r w:rsidRPr="00F2285D">
              <w:rPr>
                <w:szCs w:val="20"/>
              </w:rPr>
              <w:t>Highly motivated to provide an excellent level of service to a range of students and colleagues, with a positive and flexible approach to work.</w:t>
            </w:r>
          </w:p>
          <w:p w14:paraId="5DC8A57E" w14:textId="77777777" w:rsidR="00F2285D" w:rsidRDefault="00F2285D" w:rsidP="00C23960">
            <w:pPr>
              <w:spacing w:after="0" w:line="259" w:lineRule="auto"/>
              <w:ind w:left="0" w:firstLine="0"/>
              <w:rPr>
                <w:szCs w:val="20"/>
              </w:rPr>
            </w:pPr>
          </w:p>
          <w:p w14:paraId="257F3D8C" w14:textId="0E23C135" w:rsidR="00F2285D" w:rsidRDefault="00F2285D" w:rsidP="00C23960">
            <w:pPr>
              <w:spacing w:after="0" w:line="259" w:lineRule="auto"/>
              <w:ind w:left="0" w:firstLine="0"/>
              <w:rPr>
                <w:szCs w:val="20"/>
              </w:rPr>
            </w:pPr>
            <w:r w:rsidRPr="00F2285D">
              <w:rPr>
                <w:szCs w:val="20"/>
              </w:rPr>
              <w:t>Good communication and interpersonal skills with the ability to relate to staff and students at all levels clearly and tactfully and to build rapport. Professional approach to work and work colleagues and the ability to work upon own initiative and independently, as well as being part of a wider team.</w:t>
            </w:r>
          </w:p>
          <w:p w14:paraId="26BC2615" w14:textId="77777777" w:rsidR="00F2285D" w:rsidRPr="00115591" w:rsidRDefault="00F2285D" w:rsidP="00C23960">
            <w:pPr>
              <w:spacing w:after="0" w:line="259" w:lineRule="auto"/>
              <w:ind w:left="0" w:firstLine="0"/>
              <w:rPr>
                <w:szCs w:val="20"/>
              </w:rPr>
            </w:pPr>
          </w:p>
          <w:p w14:paraId="2F21057C" w14:textId="77777777" w:rsidR="008D6E67" w:rsidRPr="00115591" w:rsidRDefault="00EF0909" w:rsidP="00C23960">
            <w:pPr>
              <w:spacing w:after="0" w:line="240" w:lineRule="auto"/>
              <w:ind w:left="0" w:firstLine="0"/>
              <w:rPr>
                <w:szCs w:val="20"/>
              </w:rPr>
            </w:pPr>
            <w:r w:rsidRPr="00115591">
              <w:rPr>
                <w:szCs w:val="20"/>
              </w:rPr>
              <w:t xml:space="preserve">A keen interest in Higher Education and supporting student progression and </w:t>
            </w:r>
            <w:proofErr w:type="gramStart"/>
            <w:r w:rsidRPr="00115591">
              <w:rPr>
                <w:szCs w:val="20"/>
              </w:rPr>
              <w:t>retention</w:t>
            </w:r>
            <w:proofErr w:type="gramEnd"/>
            <w:r w:rsidRPr="00115591">
              <w:rPr>
                <w:szCs w:val="20"/>
              </w:rPr>
              <w:t xml:space="preserve">  </w:t>
            </w:r>
          </w:p>
          <w:p w14:paraId="157DFAD1" w14:textId="7539729C" w:rsidR="008D6E67" w:rsidRDefault="00EF0909" w:rsidP="00C23960">
            <w:pPr>
              <w:spacing w:after="0" w:line="259" w:lineRule="auto"/>
              <w:ind w:left="0" w:firstLine="0"/>
              <w:rPr>
                <w:szCs w:val="20"/>
              </w:rPr>
            </w:pPr>
            <w:r w:rsidRPr="00115591">
              <w:rPr>
                <w:szCs w:val="20"/>
              </w:rPr>
              <w:t xml:space="preserve">   </w:t>
            </w:r>
          </w:p>
          <w:p w14:paraId="1D0BEB1C" w14:textId="77777777" w:rsidR="00F2285D" w:rsidRDefault="00F2285D" w:rsidP="00C23960">
            <w:pPr>
              <w:spacing w:after="0" w:line="241" w:lineRule="auto"/>
              <w:ind w:left="0" w:right="215" w:firstLine="0"/>
            </w:pPr>
            <w:r>
              <w:t xml:space="preserve">Good organisational, networking and time management skills  </w:t>
            </w:r>
          </w:p>
          <w:p w14:paraId="07E5FF42" w14:textId="77777777" w:rsidR="009E1F8A" w:rsidRDefault="009E1F8A" w:rsidP="00C23960">
            <w:pPr>
              <w:spacing w:after="0" w:line="241" w:lineRule="auto"/>
              <w:ind w:left="0" w:right="215" w:firstLine="0"/>
            </w:pPr>
          </w:p>
          <w:p w14:paraId="3E4953BD" w14:textId="24E7CEB1" w:rsidR="00F2285D" w:rsidRPr="009E1F8A" w:rsidRDefault="00F2285D" w:rsidP="00C23960">
            <w:pPr>
              <w:spacing w:after="0" w:line="241" w:lineRule="auto"/>
              <w:ind w:left="0" w:right="215" w:firstLine="0"/>
            </w:pPr>
            <w:r>
              <w:t>Commitment to promoting equality of opportunity for students from all backgrounds</w:t>
            </w:r>
          </w:p>
        </w:tc>
        <w:tc>
          <w:tcPr>
            <w:tcW w:w="1438" w:type="dxa"/>
            <w:tcBorders>
              <w:top w:val="single" w:sz="4" w:space="0" w:color="000000"/>
              <w:left w:val="single" w:sz="4" w:space="0" w:color="000000"/>
              <w:bottom w:val="single" w:sz="4" w:space="0" w:color="000000"/>
              <w:right w:val="single" w:sz="4" w:space="0" w:color="000000"/>
            </w:tcBorders>
          </w:tcPr>
          <w:p w14:paraId="40F02F32" w14:textId="77777777" w:rsidR="00C23960" w:rsidRDefault="00C23960" w:rsidP="00C23960">
            <w:pPr>
              <w:spacing w:after="0" w:line="259" w:lineRule="auto"/>
              <w:ind w:left="0" w:firstLine="0"/>
              <w:rPr>
                <w:szCs w:val="20"/>
              </w:rPr>
            </w:pPr>
          </w:p>
          <w:p w14:paraId="584FC572" w14:textId="364A9DF0" w:rsidR="00C23960" w:rsidRDefault="00C23960" w:rsidP="00C23960">
            <w:pPr>
              <w:spacing w:after="0" w:line="259" w:lineRule="auto"/>
              <w:ind w:left="0" w:firstLine="0"/>
              <w:rPr>
                <w:szCs w:val="20"/>
              </w:rPr>
            </w:pPr>
            <w:r>
              <w:rPr>
                <w:szCs w:val="20"/>
              </w:rPr>
              <w:t>Essential</w:t>
            </w:r>
          </w:p>
          <w:p w14:paraId="3802661E" w14:textId="77777777" w:rsidR="00C23960" w:rsidRDefault="00C23960" w:rsidP="00C23960">
            <w:pPr>
              <w:spacing w:after="0" w:line="259" w:lineRule="auto"/>
              <w:ind w:left="0" w:firstLine="0"/>
              <w:rPr>
                <w:szCs w:val="20"/>
              </w:rPr>
            </w:pPr>
          </w:p>
          <w:p w14:paraId="5B85800A" w14:textId="77777777" w:rsidR="00C23960" w:rsidRDefault="00C23960" w:rsidP="00C23960">
            <w:pPr>
              <w:spacing w:after="0" w:line="259" w:lineRule="auto"/>
              <w:ind w:left="0" w:firstLine="0"/>
              <w:rPr>
                <w:szCs w:val="20"/>
              </w:rPr>
            </w:pPr>
          </w:p>
          <w:p w14:paraId="7E04AFCB" w14:textId="77777777" w:rsidR="00C23960" w:rsidRDefault="00C23960" w:rsidP="00C23960">
            <w:pPr>
              <w:spacing w:after="0" w:line="259" w:lineRule="auto"/>
              <w:ind w:left="0" w:firstLine="0"/>
              <w:rPr>
                <w:szCs w:val="20"/>
              </w:rPr>
            </w:pPr>
          </w:p>
          <w:p w14:paraId="6AF54772" w14:textId="594F7531" w:rsidR="008D6E67" w:rsidRPr="00115591" w:rsidRDefault="00EF0909" w:rsidP="00C23960">
            <w:pPr>
              <w:spacing w:after="0" w:line="259" w:lineRule="auto"/>
              <w:ind w:left="0" w:firstLine="0"/>
              <w:rPr>
                <w:szCs w:val="20"/>
              </w:rPr>
            </w:pPr>
            <w:r w:rsidRPr="00115591">
              <w:rPr>
                <w:szCs w:val="20"/>
              </w:rPr>
              <w:t xml:space="preserve">Essential </w:t>
            </w:r>
          </w:p>
          <w:p w14:paraId="5EC2DC45" w14:textId="77777777" w:rsidR="008D6E67" w:rsidRPr="00115591" w:rsidRDefault="00EF0909" w:rsidP="00C23960">
            <w:pPr>
              <w:spacing w:after="0" w:line="259" w:lineRule="auto"/>
              <w:ind w:left="0" w:firstLine="0"/>
              <w:rPr>
                <w:szCs w:val="20"/>
              </w:rPr>
            </w:pPr>
            <w:r w:rsidRPr="00115591">
              <w:rPr>
                <w:szCs w:val="20"/>
              </w:rPr>
              <w:t xml:space="preserve">  </w:t>
            </w:r>
          </w:p>
          <w:p w14:paraId="748926A5" w14:textId="77777777" w:rsidR="008D6E67" w:rsidRDefault="00EF0909" w:rsidP="00C23960">
            <w:pPr>
              <w:spacing w:after="0" w:line="259" w:lineRule="auto"/>
              <w:ind w:left="0" w:firstLine="0"/>
              <w:rPr>
                <w:szCs w:val="20"/>
              </w:rPr>
            </w:pPr>
            <w:r w:rsidRPr="00115591">
              <w:rPr>
                <w:szCs w:val="20"/>
              </w:rPr>
              <w:t xml:space="preserve"> </w:t>
            </w:r>
          </w:p>
          <w:p w14:paraId="0F1D62CA" w14:textId="77777777" w:rsidR="00F2285D" w:rsidRDefault="00F2285D" w:rsidP="00C23960">
            <w:pPr>
              <w:spacing w:after="0" w:line="259" w:lineRule="auto"/>
              <w:ind w:left="0" w:firstLine="0"/>
              <w:rPr>
                <w:szCs w:val="20"/>
              </w:rPr>
            </w:pPr>
          </w:p>
          <w:p w14:paraId="4C9C7124" w14:textId="77777777" w:rsidR="008D6E67" w:rsidRPr="00115591" w:rsidRDefault="00EF0909" w:rsidP="00C23960">
            <w:pPr>
              <w:spacing w:after="0" w:line="259" w:lineRule="auto"/>
              <w:ind w:left="0" w:firstLine="0"/>
              <w:rPr>
                <w:szCs w:val="20"/>
              </w:rPr>
            </w:pPr>
            <w:r w:rsidRPr="00115591">
              <w:rPr>
                <w:szCs w:val="20"/>
              </w:rPr>
              <w:t xml:space="preserve">Essential </w:t>
            </w:r>
          </w:p>
          <w:p w14:paraId="7299E2CA" w14:textId="4FDDD9B2" w:rsidR="00115591" w:rsidRDefault="00EF0909" w:rsidP="00C23960">
            <w:pPr>
              <w:spacing w:after="0" w:line="259" w:lineRule="auto"/>
              <w:ind w:left="0" w:firstLine="0"/>
              <w:rPr>
                <w:szCs w:val="20"/>
              </w:rPr>
            </w:pPr>
            <w:r w:rsidRPr="00115591">
              <w:rPr>
                <w:szCs w:val="20"/>
              </w:rPr>
              <w:t xml:space="preserve">   </w:t>
            </w:r>
          </w:p>
          <w:p w14:paraId="6B05CDBC" w14:textId="7180A319" w:rsidR="00115591" w:rsidRDefault="00EF0909" w:rsidP="00C23960">
            <w:pPr>
              <w:spacing w:after="0" w:line="259" w:lineRule="auto"/>
              <w:ind w:left="0" w:firstLine="0"/>
              <w:rPr>
                <w:szCs w:val="20"/>
              </w:rPr>
            </w:pPr>
            <w:r w:rsidRPr="00115591">
              <w:rPr>
                <w:szCs w:val="20"/>
              </w:rPr>
              <w:t xml:space="preserve">   </w:t>
            </w:r>
          </w:p>
          <w:p w14:paraId="1BB5A4A5" w14:textId="77777777" w:rsidR="00C23960" w:rsidRDefault="00C23960" w:rsidP="00C23960">
            <w:pPr>
              <w:spacing w:after="0" w:line="259" w:lineRule="auto"/>
              <w:ind w:left="0" w:firstLine="0"/>
              <w:rPr>
                <w:szCs w:val="20"/>
              </w:rPr>
            </w:pPr>
          </w:p>
          <w:p w14:paraId="776008F0" w14:textId="77777777" w:rsidR="00C23960" w:rsidRDefault="00C23960" w:rsidP="00C23960">
            <w:pPr>
              <w:spacing w:after="0" w:line="259" w:lineRule="auto"/>
              <w:ind w:left="0" w:firstLine="0"/>
              <w:rPr>
                <w:szCs w:val="20"/>
              </w:rPr>
            </w:pPr>
          </w:p>
          <w:p w14:paraId="6527C316" w14:textId="77777777" w:rsidR="00C23960" w:rsidRPr="00115591" w:rsidRDefault="00C23960" w:rsidP="00C23960">
            <w:pPr>
              <w:spacing w:after="0" w:line="259" w:lineRule="auto"/>
              <w:ind w:left="0" w:firstLine="0"/>
              <w:rPr>
                <w:szCs w:val="20"/>
              </w:rPr>
            </w:pPr>
          </w:p>
          <w:p w14:paraId="642AC63E" w14:textId="77777777" w:rsidR="008D6E67" w:rsidRPr="00115591" w:rsidRDefault="00EF0909" w:rsidP="00C23960">
            <w:pPr>
              <w:spacing w:after="0" w:line="259" w:lineRule="auto"/>
              <w:ind w:left="0" w:firstLine="0"/>
              <w:rPr>
                <w:szCs w:val="20"/>
              </w:rPr>
            </w:pPr>
            <w:r w:rsidRPr="00115591">
              <w:rPr>
                <w:szCs w:val="20"/>
              </w:rPr>
              <w:t xml:space="preserve">Essential </w:t>
            </w:r>
          </w:p>
          <w:p w14:paraId="580420BF" w14:textId="77777777" w:rsidR="008D6E67" w:rsidRPr="00115591" w:rsidRDefault="00EF0909" w:rsidP="00C23960">
            <w:pPr>
              <w:spacing w:after="0" w:line="259" w:lineRule="auto"/>
              <w:ind w:left="0" w:firstLine="0"/>
              <w:rPr>
                <w:szCs w:val="20"/>
              </w:rPr>
            </w:pPr>
            <w:r w:rsidRPr="00115591">
              <w:rPr>
                <w:szCs w:val="20"/>
              </w:rPr>
              <w:t xml:space="preserve">  </w:t>
            </w:r>
          </w:p>
          <w:p w14:paraId="100ED77B" w14:textId="4174096B" w:rsidR="00C23960" w:rsidRPr="00115591" w:rsidRDefault="00EF0909" w:rsidP="00C23960">
            <w:pPr>
              <w:spacing w:after="0" w:line="259" w:lineRule="auto"/>
              <w:ind w:left="0" w:firstLine="0"/>
              <w:rPr>
                <w:szCs w:val="20"/>
              </w:rPr>
            </w:pPr>
            <w:r w:rsidRPr="00115591">
              <w:rPr>
                <w:szCs w:val="20"/>
              </w:rPr>
              <w:t xml:space="preserve">  </w:t>
            </w:r>
          </w:p>
          <w:p w14:paraId="2BC80BE7" w14:textId="77777777" w:rsidR="008D6E67" w:rsidRPr="00115591" w:rsidRDefault="00EF0909" w:rsidP="00C23960">
            <w:pPr>
              <w:spacing w:after="0" w:line="259" w:lineRule="auto"/>
              <w:ind w:left="0" w:firstLine="0"/>
              <w:rPr>
                <w:szCs w:val="20"/>
              </w:rPr>
            </w:pPr>
            <w:r w:rsidRPr="00115591">
              <w:rPr>
                <w:szCs w:val="20"/>
              </w:rPr>
              <w:t xml:space="preserve">Essential </w:t>
            </w:r>
          </w:p>
          <w:p w14:paraId="347D6659" w14:textId="77777777" w:rsidR="008D6E67" w:rsidRPr="00115591" w:rsidRDefault="00EF0909" w:rsidP="00C23960">
            <w:pPr>
              <w:spacing w:after="0" w:line="259" w:lineRule="auto"/>
              <w:ind w:left="0" w:firstLine="0"/>
              <w:rPr>
                <w:szCs w:val="20"/>
              </w:rPr>
            </w:pPr>
            <w:r w:rsidRPr="00115591">
              <w:rPr>
                <w:szCs w:val="20"/>
              </w:rPr>
              <w:t xml:space="preserve">  </w:t>
            </w:r>
          </w:p>
          <w:p w14:paraId="3B856F24" w14:textId="50EAE860" w:rsidR="008D6E67" w:rsidRPr="00115591" w:rsidRDefault="00EF0909" w:rsidP="00C23960">
            <w:pPr>
              <w:spacing w:after="0" w:line="259" w:lineRule="auto"/>
              <w:ind w:left="0" w:firstLine="0"/>
              <w:rPr>
                <w:szCs w:val="20"/>
              </w:rPr>
            </w:pPr>
            <w:r w:rsidRPr="00115591">
              <w:rPr>
                <w:szCs w:val="20"/>
              </w:rPr>
              <w:t xml:space="preserve"> </w:t>
            </w:r>
          </w:p>
          <w:p w14:paraId="231A2219" w14:textId="234C1ABE" w:rsidR="008D6E67" w:rsidRPr="00115591" w:rsidRDefault="002955A2" w:rsidP="00C23960">
            <w:pPr>
              <w:spacing w:after="0" w:line="259" w:lineRule="auto"/>
              <w:ind w:left="0" w:firstLine="0"/>
              <w:rPr>
                <w:szCs w:val="20"/>
              </w:rPr>
            </w:pPr>
            <w:r>
              <w:rPr>
                <w:szCs w:val="20"/>
              </w:rPr>
              <w:t>Essential</w:t>
            </w:r>
          </w:p>
        </w:tc>
        <w:tc>
          <w:tcPr>
            <w:tcW w:w="3166" w:type="dxa"/>
            <w:tcBorders>
              <w:top w:val="single" w:sz="4" w:space="0" w:color="000000"/>
              <w:left w:val="single" w:sz="4" w:space="0" w:color="000000"/>
              <w:bottom w:val="single" w:sz="4" w:space="0" w:color="000000"/>
              <w:right w:val="single" w:sz="4" w:space="0" w:color="000000"/>
            </w:tcBorders>
          </w:tcPr>
          <w:p w14:paraId="79D8654E" w14:textId="77777777" w:rsidR="00C23960" w:rsidRDefault="00C23960" w:rsidP="00C23960">
            <w:pPr>
              <w:spacing w:after="0" w:line="259" w:lineRule="auto"/>
              <w:ind w:left="0" w:firstLine="0"/>
              <w:rPr>
                <w:szCs w:val="20"/>
              </w:rPr>
            </w:pPr>
          </w:p>
          <w:p w14:paraId="7E4F8A4D" w14:textId="4DA97ACA" w:rsidR="00C23960" w:rsidRPr="00ED32DC" w:rsidRDefault="00C23960" w:rsidP="00C23960">
            <w:pPr>
              <w:spacing w:after="0" w:line="259" w:lineRule="auto"/>
              <w:ind w:left="0" w:firstLine="0"/>
              <w:rPr>
                <w:szCs w:val="20"/>
              </w:rPr>
            </w:pPr>
            <w:r w:rsidRPr="00ED32DC">
              <w:rPr>
                <w:szCs w:val="20"/>
              </w:rPr>
              <w:t xml:space="preserve">Supporting statement </w:t>
            </w:r>
          </w:p>
          <w:p w14:paraId="4C79A176" w14:textId="77777777" w:rsidR="00C23960" w:rsidRPr="00115591" w:rsidRDefault="00C23960" w:rsidP="00C23960">
            <w:pPr>
              <w:spacing w:after="0" w:line="259" w:lineRule="auto"/>
              <w:ind w:left="0" w:firstLine="0"/>
              <w:rPr>
                <w:szCs w:val="20"/>
              </w:rPr>
            </w:pPr>
            <w:r w:rsidRPr="00ED32DC">
              <w:rPr>
                <w:szCs w:val="20"/>
              </w:rPr>
              <w:t>/Interview</w:t>
            </w:r>
            <w:r w:rsidRPr="00115591">
              <w:rPr>
                <w:szCs w:val="20"/>
              </w:rPr>
              <w:t xml:space="preserve"> </w:t>
            </w:r>
          </w:p>
          <w:p w14:paraId="3952E0C6" w14:textId="77777777" w:rsidR="00C23960" w:rsidRDefault="00C23960" w:rsidP="00C23960">
            <w:pPr>
              <w:spacing w:after="0" w:line="259" w:lineRule="auto"/>
              <w:ind w:left="0" w:firstLine="0"/>
              <w:rPr>
                <w:szCs w:val="20"/>
              </w:rPr>
            </w:pPr>
          </w:p>
          <w:p w14:paraId="72B7CED7" w14:textId="77777777" w:rsidR="00C23960" w:rsidRDefault="00C23960" w:rsidP="00C23960">
            <w:pPr>
              <w:spacing w:after="0" w:line="259" w:lineRule="auto"/>
              <w:ind w:left="0" w:firstLine="0"/>
              <w:rPr>
                <w:szCs w:val="20"/>
              </w:rPr>
            </w:pPr>
          </w:p>
          <w:p w14:paraId="0BE14451" w14:textId="32106080" w:rsidR="00F2285D" w:rsidRPr="00ED32DC" w:rsidRDefault="00F2285D" w:rsidP="00C23960">
            <w:pPr>
              <w:spacing w:after="0" w:line="259" w:lineRule="auto"/>
              <w:ind w:left="0" w:firstLine="0"/>
              <w:rPr>
                <w:szCs w:val="20"/>
              </w:rPr>
            </w:pPr>
            <w:r w:rsidRPr="00ED32DC">
              <w:rPr>
                <w:szCs w:val="20"/>
              </w:rPr>
              <w:t xml:space="preserve">Supporting statement </w:t>
            </w:r>
          </w:p>
          <w:p w14:paraId="7EB29549" w14:textId="52E1AF0F" w:rsidR="008D6E67" w:rsidRPr="00115591" w:rsidRDefault="00F2285D" w:rsidP="00C23960">
            <w:pPr>
              <w:spacing w:after="0" w:line="259" w:lineRule="auto"/>
              <w:ind w:left="0" w:firstLine="0"/>
              <w:rPr>
                <w:szCs w:val="20"/>
              </w:rPr>
            </w:pPr>
            <w:r w:rsidRPr="00ED32DC">
              <w:rPr>
                <w:szCs w:val="20"/>
              </w:rPr>
              <w:t>/Interview</w:t>
            </w:r>
            <w:r w:rsidR="00EF0909" w:rsidRPr="00115591">
              <w:rPr>
                <w:szCs w:val="20"/>
              </w:rPr>
              <w:t xml:space="preserve"> </w:t>
            </w:r>
          </w:p>
          <w:p w14:paraId="24160210" w14:textId="77777777" w:rsidR="008D6E67" w:rsidRDefault="00EF0909" w:rsidP="00C23960">
            <w:pPr>
              <w:spacing w:after="0" w:line="259" w:lineRule="auto"/>
              <w:ind w:left="0" w:firstLine="0"/>
              <w:rPr>
                <w:szCs w:val="20"/>
              </w:rPr>
            </w:pPr>
            <w:r w:rsidRPr="00115591">
              <w:rPr>
                <w:szCs w:val="20"/>
              </w:rPr>
              <w:t xml:space="preserve"> </w:t>
            </w:r>
          </w:p>
          <w:p w14:paraId="20C19903" w14:textId="77777777" w:rsidR="00F2285D" w:rsidRDefault="00F2285D" w:rsidP="00C23960">
            <w:pPr>
              <w:spacing w:after="0" w:line="259" w:lineRule="auto"/>
              <w:ind w:left="0" w:firstLine="0"/>
              <w:rPr>
                <w:szCs w:val="20"/>
              </w:rPr>
            </w:pPr>
          </w:p>
          <w:p w14:paraId="5414F3A2" w14:textId="77777777" w:rsidR="00F2285D" w:rsidRPr="00ED32DC" w:rsidRDefault="00F2285D" w:rsidP="00C23960">
            <w:pPr>
              <w:spacing w:after="0" w:line="259" w:lineRule="auto"/>
              <w:ind w:left="0" w:firstLine="0"/>
              <w:rPr>
                <w:szCs w:val="20"/>
              </w:rPr>
            </w:pPr>
            <w:r w:rsidRPr="00ED32DC">
              <w:rPr>
                <w:szCs w:val="20"/>
              </w:rPr>
              <w:t xml:space="preserve">Supporting statement </w:t>
            </w:r>
          </w:p>
          <w:p w14:paraId="42D3696A" w14:textId="77777777" w:rsidR="00F2285D" w:rsidRPr="00115591" w:rsidRDefault="00F2285D" w:rsidP="00C23960">
            <w:pPr>
              <w:spacing w:after="0" w:line="259" w:lineRule="auto"/>
              <w:ind w:left="0" w:firstLine="0"/>
              <w:rPr>
                <w:szCs w:val="20"/>
              </w:rPr>
            </w:pPr>
            <w:r w:rsidRPr="00ED32DC">
              <w:rPr>
                <w:szCs w:val="20"/>
              </w:rPr>
              <w:t>/Interview</w:t>
            </w:r>
            <w:r w:rsidRPr="00115591">
              <w:rPr>
                <w:szCs w:val="20"/>
              </w:rPr>
              <w:t xml:space="preserve"> </w:t>
            </w:r>
          </w:p>
          <w:p w14:paraId="31102980" w14:textId="77777777" w:rsidR="00F2285D" w:rsidRDefault="00F2285D" w:rsidP="00C23960">
            <w:pPr>
              <w:spacing w:after="0" w:line="259" w:lineRule="auto"/>
              <w:ind w:left="0" w:firstLine="0"/>
              <w:rPr>
                <w:szCs w:val="20"/>
              </w:rPr>
            </w:pPr>
          </w:p>
          <w:p w14:paraId="708A3C15" w14:textId="77777777" w:rsidR="00F2285D" w:rsidRDefault="00F2285D" w:rsidP="00C23960">
            <w:pPr>
              <w:spacing w:after="0" w:line="259" w:lineRule="auto"/>
              <w:ind w:left="0" w:firstLine="0"/>
              <w:rPr>
                <w:szCs w:val="20"/>
              </w:rPr>
            </w:pPr>
          </w:p>
          <w:p w14:paraId="2BF9BEFC" w14:textId="77777777" w:rsidR="00F2285D" w:rsidRDefault="00F2285D" w:rsidP="00C23960">
            <w:pPr>
              <w:spacing w:after="0" w:line="259" w:lineRule="auto"/>
              <w:ind w:left="0" w:firstLine="0"/>
              <w:rPr>
                <w:szCs w:val="20"/>
              </w:rPr>
            </w:pPr>
          </w:p>
          <w:p w14:paraId="05AFCEBF" w14:textId="77777777" w:rsidR="00C23960" w:rsidRPr="00115591" w:rsidRDefault="00C23960" w:rsidP="00C23960">
            <w:pPr>
              <w:spacing w:after="0" w:line="259" w:lineRule="auto"/>
              <w:ind w:left="0" w:firstLine="0"/>
              <w:rPr>
                <w:szCs w:val="20"/>
              </w:rPr>
            </w:pPr>
          </w:p>
          <w:p w14:paraId="7B59F30E" w14:textId="7947BB00" w:rsidR="008D6E67" w:rsidRPr="00115591" w:rsidRDefault="00EF0909" w:rsidP="00C23960">
            <w:pPr>
              <w:spacing w:after="0" w:line="259" w:lineRule="auto"/>
              <w:ind w:left="0" w:firstLine="0"/>
              <w:rPr>
                <w:szCs w:val="20"/>
              </w:rPr>
            </w:pPr>
            <w:r w:rsidRPr="00115591">
              <w:rPr>
                <w:szCs w:val="20"/>
              </w:rPr>
              <w:t xml:space="preserve">Interview </w:t>
            </w:r>
          </w:p>
          <w:p w14:paraId="24F04785" w14:textId="116CC196" w:rsidR="008D6E67" w:rsidRDefault="00EF0909" w:rsidP="00C23960">
            <w:pPr>
              <w:spacing w:after="0" w:line="259" w:lineRule="auto"/>
              <w:ind w:left="0" w:firstLine="0"/>
              <w:rPr>
                <w:szCs w:val="20"/>
              </w:rPr>
            </w:pPr>
            <w:r w:rsidRPr="00115591">
              <w:rPr>
                <w:szCs w:val="20"/>
              </w:rPr>
              <w:t xml:space="preserve">      </w:t>
            </w:r>
          </w:p>
          <w:p w14:paraId="117095CC" w14:textId="77777777" w:rsidR="00C23960" w:rsidRPr="00115591" w:rsidRDefault="00C23960" w:rsidP="00C23960">
            <w:pPr>
              <w:spacing w:after="0" w:line="259" w:lineRule="auto"/>
              <w:ind w:left="0" w:firstLine="0"/>
              <w:rPr>
                <w:szCs w:val="20"/>
              </w:rPr>
            </w:pPr>
          </w:p>
          <w:p w14:paraId="2C3AD6B4" w14:textId="4F923F98" w:rsidR="008D6E67" w:rsidRPr="00115591" w:rsidRDefault="00EF0909" w:rsidP="00C23960">
            <w:pPr>
              <w:spacing w:after="0" w:line="259" w:lineRule="auto"/>
              <w:ind w:left="0" w:firstLine="0"/>
              <w:rPr>
                <w:szCs w:val="20"/>
              </w:rPr>
            </w:pPr>
            <w:r w:rsidRPr="00115591">
              <w:rPr>
                <w:szCs w:val="20"/>
              </w:rPr>
              <w:t xml:space="preserve">Interview </w:t>
            </w:r>
          </w:p>
          <w:p w14:paraId="684B86F6" w14:textId="77777777" w:rsidR="008D6E67" w:rsidRPr="00115591" w:rsidRDefault="00EF0909" w:rsidP="00C23960">
            <w:pPr>
              <w:spacing w:after="0" w:line="259" w:lineRule="auto"/>
              <w:ind w:left="0" w:firstLine="0"/>
              <w:rPr>
                <w:szCs w:val="20"/>
              </w:rPr>
            </w:pPr>
            <w:r w:rsidRPr="00115591">
              <w:rPr>
                <w:szCs w:val="20"/>
              </w:rPr>
              <w:t xml:space="preserve"> </w:t>
            </w:r>
          </w:p>
          <w:p w14:paraId="348587D3" w14:textId="77777777" w:rsidR="008D6E67" w:rsidRPr="00115591" w:rsidRDefault="00EF0909" w:rsidP="00C23960">
            <w:pPr>
              <w:spacing w:after="0" w:line="259" w:lineRule="auto"/>
              <w:ind w:left="0" w:firstLine="0"/>
              <w:rPr>
                <w:szCs w:val="20"/>
              </w:rPr>
            </w:pPr>
            <w:r w:rsidRPr="00115591">
              <w:rPr>
                <w:szCs w:val="20"/>
              </w:rPr>
              <w:t xml:space="preserve"> </w:t>
            </w:r>
          </w:p>
          <w:p w14:paraId="6E415B50" w14:textId="3F2B250E" w:rsidR="008D6E67" w:rsidRPr="00115591" w:rsidRDefault="00EF0909" w:rsidP="00C23960">
            <w:pPr>
              <w:spacing w:after="0" w:line="259" w:lineRule="auto"/>
              <w:ind w:left="0" w:firstLine="0"/>
              <w:rPr>
                <w:szCs w:val="20"/>
              </w:rPr>
            </w:pPr>
            <w:r w:rsidRPr="00115591">
              <w:rPr>
                <w:szCs w:val="20"/>
              </w:rPr>
              <w:t xml:space="preserve">Interview </w:t>
            </w:r>
          </w:p>
        </w:tc>
      </w:tr>
      <w:tr w:rsidR="008D6E67" w14:paraId="2993692B" w14:textId="77777777">
        <w:trPr>
          <w:trHeight w:val="1229"/>
        </w:trPr>
        <w:tc>
          <w:tcPr>
            <w:tcW w:w="6018" w:type="dxa"/>
            <w:tcBorders>
              <w:top w:val="single" w:sz="4" w:space="0" w:color="000000"/>
              <w:left w:val="single" w:sz="6" w:space="0" w:color="000000"/>
              <w:bottom w:val="single" w:sz="6" w:space="0" w:color="000000"/>
              <w:right w:val="single" w:sz="6" w:space="0" w:color="000000"/>
            </w:tcBorders>
          </w:tcPr>
          <w:p w14:paraId="0BD51588" w14:textId="77777777" w:rsidR="008D6E67" w:rsidRDefault="00EF0909">
            <w:pPr>
              <w:spacing w:after="0" w:line="259" w:lineRule="auto"/>
              <w:ind w:left="0" w:firstLine="0"/>
            </w:pPr>
            <w:r>
              <w:rPr>
                <w:b/>
              </w:rPr>
              <w:lastRenderedPageBreak/>
              <w:t>Other</w:t>
            </w:r>
            <w:r>
              <w:t xml:space="preserve"> </w:t>
            </w:r>
          </w:p>
          <w:p w14:paraId="08A7AEEB" w14:textId="77777777" w:rsidR="008D6E67" w:rsidRDefault="00EF0909">
            <w:pPr>
              <w:spacing w:after="0" w:line="241" w:lineRule="auto"/>
              <w:ind w:left="0" w:firstLine="0"/>
            </w:pPr>
            <w:r>
              <w:t xml:space="preserve">Commitment to the </w:t>
            </w:r>
            <w:hyperlink r:id="rId9">
              <w:r>
                <w:rPr>
                  <w:color w:val="0000FF"/>
                  <w:u w:val="single" w:color="0000FF"/>
                </w:rPr>
                <w:t>strategic plan and values</w:t>
              </w:r>
            </w:hyperlink>
            <w:hyperlink r:id="rId10">
              <w:r>
                <w:t xml:space="preserve"> </w:t>
              </w:r>
            </w:hyperlink>
            <w:r>
              <w:t xml:space="preserve">of the University especially in relation to equality of opportunity at work and a healthy and safe working environment. </w:t>
            </w:r>
          </w:p>
          <w:p w14:paraId="23EE1CCE" w14:textId="77777777" w:rsidR="008D6E67" w:rsidRDefault="00EF0909">
            <w:pPr>
              <w:spacing w:after="0" w:line="259" w:lineRule="auto"/>
              <w:ind w:left="0" w:firstLine="0"/>
            </w:pPr>
            <w:r>
              <w:t xml:space="preserve"> </w:t>
            </w:r>
          </w:p>
        </w:tc>
        <w:tc>
          <w:tcPr>
            <w:tcW w:w="1438" w:type="dxa"/>
            <w:tcBorders>
              <w:top w:val="single" w:sz="4" w:space="0" w:color="000000"/>
              <w:left w:val="single" w:sz="6" w:space="0" w:color="000000"/>
              <w:bottom w:val="single" w:sz="6" w:space="0" w:color="000000"/>
              <w:right w:val="single" w:sz="6" w:space="0" w:color="000000"/>
            </w:tcBorders>
          </w:tcPr>
          <w:p w14:paraId="00D3BD7E" w14:textId="77777777" w:rsidR="008D6E67" w:rsidRDefault="00EF0909">
            <w:pPr>
              <w:spacing w:after="0" w:line="259" w:lineRule="auto"/>
              <w:ind w:left="0" w:firstLine="0"/>
            </w:pPr>
            <w:r>
              <w:t xml:space="preserve"> </w:t>
            </w:r>
          </w:p>
          <w:p w14:paraId="56193628" w14:textId="77777777" w:rsidR="008D6E67" w:rsidRDefault="00EF0909">
            <w:pPr>
              <w:spacing w:after="0" w:line="259" w:lineRule="auto"/>
              <w:ind w:left="0" w:firstLine="0"/>
            </w:pPr>
            <w:r>
              <w:t xml:space="preserve">Essential </w:t>
            </w:r>
          </w:p>
        </w:tc>
        <w:tc>
          <w:tcPr>
            <w:tcW w:w="3166" w:type="dxa"/>
            <w:tcBorders>
              <w:top w:val="single" w:sz="4" w:space="0" w:color="000000"/>
              <w:left w:val="single" w:sz="6" w:space="0" w:color="000000"/>
              <w:bottom w:val="single" w:sz="6" w:space="0" w:color="000000"/>
              <w:right w:val="single" w:sz="6" w:space="0" w:color="000000"/>
            </w:tcBorders>
          </w:tcPr>
          <w:p w14:paraId="203F7CE4" w14:textId="77777777" w:rsidR="008D6E67" w:rsidRDefault="00EF0909">
            <w:pPr>
              <w:spacing w:after="0" w:line="259" w:lineRule="auto"/>
              <w:ind w:left="0" w:firstLine="0"/>
            </w:pPr>
            <w:r>
              <w:t xml:space="preserve"> </w:t>
            </w:r>
          </w:p>
          <w:p w14:paraId="3EA70C66" w14:textId="77777777" w:rsidR="008D6E67" w:rsidRDefault="00EF0909">
            <w:pPr>
              <w:spacing w:after="0" w:line="259" w:lineRule="auto"/>
              <w:ind w:left="0" w:firstLine="0"/>
            </w:pPr>
            <w:r>
              <w:t xml:space="preserve">Interview </w:t>
            </w:r>
          </w:p>
        </w:tc>
      </w:tr>
    </w:tbl>
    <w:p w14:paraId="747E00E7" w14:textId="77777777" w:rsidR="006B1BF7" w:rsidRDefault="006B1BF7" w:rsidP="006B1BF7">
      <w:pPr>
        <w:spacing w:after="0" w:line="259" w:lineRule="auto"/>
        <w:ind w:left="0" w:firstLine="0"/>
      </w:pPr>
    </w:p>
    <w:sectPr w:rsidR="006B1BF7" w:rsidSect="0070134B">
      <w:pgSz w:w="11906" w:h="16838"/>
      <w:pgMar w:top="851" w:right="1080" w:bottom="42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6AA"/>
    <w:multiLevelType w:val="hybridMultilevel"/>
    <w:tmpl w:val="A99EB4FC"/>
    <w:lvl w:ilvl="0" w:tplc="C1F0A540">
      <w:start w:val="1"/>
      <w:numFmt w:val="bullet"/>
      <w:lvlText w:val="•"/>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4E801A">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12D29E">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E40902">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6C48CE">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0CA10">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183056">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02D116">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E813CA">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C74C9F"/>
    <w:multiLevelType w:val="hybridMultilevel"/>
    <w:tmpl w:val="81B43508"/>
    <w:lvl w:ilvl="0" w:tplc="E5F8ED30">
      <w:start w:val="1"/>
      <w:numFmt w:val="bullet"/>
      <w:lvlText w:val="•"/>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0A39D2">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B65BBE">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445DF8">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144DB2">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04C2A0">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34C706">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8A9552">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C899EE">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753D82"/>
    <w:multiLevelType w:val="hybridMultilevel"/>
    <w:tmpl w:val="BB10EDA0"/>
    <w:lvl w:ilvl="0" w:tplc="A404CCA0">
      <w:start w:val="1"/>
      <w:numFmt w:val="bullet"/>
      <w:lvlText w:val="•"/>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1A323A">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58AFB6">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3C1AF4">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00B076">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1E68AA">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40BC94">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3A7C3C">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9E5E82">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515C2D"/>
    <w:multiLevelType w:val="hybridMultilevel"/>
    <w:tmpl w:val="BCFA41A0"/>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4" w15:restartNumberingAfterBreak="0">
    <w:nsid w:val="322A32EB"/>
    <w:multiLevelType w:val="hybridMultilevel"/>
    <w:tmpl w:val="3BEE8BCC"/>
    <w:lvl w:ilvl="0" w:tplc="81980A50">
      <w:start w:val="1"/>
      <w:numFmt w:val="bullet"/>
      <w:lvlText w:val="•"/>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CA9BA">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F2BBA2">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063B2A">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263D4">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C4740C">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8E2D60">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601050">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3892B0">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901241"/>
    <w:multiLevelType w:val="hybridMultilevel"/>
    <w:tmpl w:val="1C926C8E"/>
    <w:lvl w:ilvl="0" w:tplc="18EEB2F6">
      <w:start w:val="1"/>
      <w:numFmt w:val="bullet"/>
      <w:lvlText w:val="•"/>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4A6636">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2E0A82">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586968">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BAEE80">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F860D8">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E4B316">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A86FBA">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BA3EC2">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2B0A4E"/>
    <w:multiLevelType w:val="hybridMultilevel"/>
    <w:tmpl w:val="10D0531E"/>
    <w:lvl w:ilvl="0" w:tplc="3446C0F6">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9EF4AA">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DE248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28B5C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AAB9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F6B9D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C45D6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F87CF2">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0642A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844711"/>
    <w:multiLevelType w:val="hybridMultilevel"/>
    <w:tmpl w:val="2C08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44F68"/>
    <w:multiLevelType w:val="hybridMultilevel"/>
    <w:tmpl w:val="2DA2F2BA"/>
    <w:lvl w:ilvl="0" w:tplc="91668B94">
      <w:start w:val="1"/>
      <w:numFmt w:val="bullet"/>
      <w:lvlText w:val="•"/>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202FA8">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5E1B00">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34B352">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4A06A">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7A59A4">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8E224C">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A2B8C8">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E8E296">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9DC7B9F"/>
    <w:multiLevelType w:val="hybridMultilevel"/>
    <w:tmpl w:val="CA547A9E"/>
    <w:lvl w:ilvl="0" w:tplc="9ED49B7E">
      <w:start w:val="1"/>
      <w:numFmt w:val="bullet"/>
      <w:lvlText w:val="•"/>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DE3B16">
      <w:start w:val="1"/>
      <w:numFmt w:val="bullet"/>
      <w:lvlText w:val="o"/>
      <w:lvlJc w:val="left"/>
      <w:pPr>
        <w:ind w:left="1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767ACE">
      <w:start w:val="1"/>
      <w:numFmt w:val="bullet"/>
      <w:lvlText w:val="▪"/>
      <w:lvlJc w:val="left"/>
      <w:pPr>
        <w:ind w:left="1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E8E67E">
      <w:start w:val="1"/>
      <w:numFmt w:val="bullet"/>
      <w:lvlText w:val="•"/>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2A9EE8">
      <w:start w:val="1"/>
      <w:numFmt w:val="bullet"/>
      <w:lvlText w:val="o"/>
      <w:lvlJc w:val="left"/>
      <w:pPr>
        <w:ind w:left="3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F6C6B6">
      <w:start w:val="1"/>
      <w:numFmt w:val="bullet"/>
      <w:lvlText w:val="▪"/>
      <w:lvlJc w:val="left"/>
      <w:pPr>
        <w:ind w:left="40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34C22E">
      <w:start w:val="1"/>
      <w:numFmt w:val="bullet"/>
      <w:lvlText w:val="•"/>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506400">
      <w:start w:val="1"/>
      <w:numFmt w:val="bullet"/>
      <w:lvlText w:val="o"/>
      <w:lvlJc w:val="left"/>
      <w:pPr>
        <w:ind w:left="5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2EFEAC">
      <w:start w:val="1"/>
      <w:numFmt w:val="bullet"/>
      <w:lvlText w:val="▪"/>
      <w:lvlJc w:val="left"/>
      <w:pPr>
        <w:ind w:left="6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12517822">
    <w:abstractNumId w:val="6"/>
  </w:num>
  <w:num w:numId="2" w16cid:durableId="1518234455">
    <w:abstractNumId w:val="4"/>
  </w:num>
  <w:num w:numId="3" w16cid:durableId="92213545">
    <w:abstractNumId w:val="9"/>
  </w:num>
  <w:num w:numId="4" w16cid:durableId="1295139431">
    <w:abstractNumId w:val="8"/>
  </w:num>
  <w:num w:numId="5" w16cid:durableId="704866896">
    <w:abstractNumId w:val="2"/>
  </w:num>
  <w:num w:numId="6" w16cid:durableId="1212301366">
    <w:abstractNumId w:val="0"/>
  </w:num>
  <w:num w:numId="7" w16cid:durableId="83496510">
    <w:abstractNumId w:val="5"/>
  </w:num>
  <w:num w:numId="8" w16cid:durableId="1521041490">
    <w:abstractNumId w:val="1"/>
  </w:num>
  <w:num w:numId="9" w16cid:durableId="1795246842">
    <w:abstractNumId w:val="3"/>
  </w:num>
  <w:num w:numId="10" w16cid:durableId="1012731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67"/>
    <w:rsid w:val="00066E83"/>
    <w:rsid w:val="00075C79"/>
    <w:rsid w:val="000A5AD3"/>
    <w:rsid w:val="000A7268"/>
    <w:rsid w:val="000B0E38"/>
    <w:rsid w:val="000E65D3"/>
    <w:rsid w:val="000F52F7"/>
    <w:rsid w:val="000F5A18"/>
    <w:rsid w:val="00115591"/>
    <w:rsid w:val="001414C0"/>
    <w:rsid w:val="001467FD"/>
    <w:rsid w:val="001705CE"/>
    <w:rsid w:val="00172B35"/>
    <w:rsid w:val="00196948"/>
    <w:rsid w:val="001A3D75"/>
    <w:rsid w:val="001C7264"/>
    <w:rsid w:val="001E28AB"/>
    <w:rsid w:val="001E3B28"/>
    <w:rsid w:val="00242B2B"/>
    <w:rsid w:val="00262178"/>
    <w:rsid w:val="002955A2"/>
    <w:rsid w:val="002A2314"/>
    <w:rsid w:val="002C4399"/>
    <w:rsid w:val="002D3E35"/>
    <w:rsid w:val="0033434F"/>
    <w:rsid w:val="00380A46"/>
    <w:rsid w:val="00384B14"/>
    <w:rsid w:val="00386D30"/>
    <w:rsid w:val="0039204E"/>
    <w:rsid w:val="00393C00"/>
    <w:rsid w:val="003B784F"/>
    <w:rsid w:val="003E2F03"/>
    <w:rsid w:val="0044713C"/>
    <w:rsid w:val="004B7874"/>
    <w:rsid w:val="004D3276"/>
    <w:rsid w:val="004F58B4"/>
    <w:rsid w:val="004F7EF9"/>
    <w:rsid w:val="00500980"/>
    <w:rsid w:val="00504EEB"/>
    <w:rsid w:val="00560348"/>
    <w:rsid w:val="00563CC5"/>
    <w:rsid w:val="0059698A"/>
    <w:rsid w:val="005A1164"/>
    <w:rsid w:val="005B43CC"/>
    <w:rsid w:val="005B4BF4"/>
    <w:rsid w:val="005E00CF"/>
    <w:rsid w:val="005E4C6F"/>
    <w:rsid w:val="005F4B99"/>
    <w:rsid w:val="0060167A"/>
    <w:rsid w:val="006104BF"/>
    <w:rsid w:val="00690F5D"/>
    <w:rsid w:val="006B1BF7"/>
    <w:rsid w:val="0070134B"/>
    <w:rsid w:val="00701E4B"/>
    <w:rsid w:val="00725847"/>
    <w:rsid w:val="007264B5"/>
    <w:rsid w:val="007455DB"/>
    <w:rsid w:val="007A010D"/>
    <w:rsid w:val="007A2FC6"/>
    <w:rsid w:val="007B0421"/>
    <w:rsid w:val="007C6C1A"/>
    <w:rsid w:val="008153F7"/>
    <w:rsid w:val="00827589"/>
    <w:rsid w:val="008520B9"/>
    <w:rsid w:val="00892895"/>
    <w:rsid w:val="008D6E67"/>
    <w:rsid w:val="00910A91"/>
    <w:rsid w:val="009110EC"/>
    <w:rsid w:val="00923164"/>
    <w:rsid w:val="009413CF"/>
    <w:rsid w:val="00956B10"/>
    <w:rsid w:val="00982864"/>
    <w:rsid w:val="009915B5"/>
    <w:rsid w:val="009953F1"/>
    <w:rsid w:val="00996606"/>
    <w:rsid w:val="009B0B98"/>
    <w:rsid w:val="009B1694"/>
    <w:rsid w:val="009B58FC"/>
    <w:rsid w:val="009E1F8A"/>
    <w:rsid w:val="00A11370"/>
    <w:rsid w:val="00A33FBC"/>
    <w:rsid w:val="00A47475"/>
    <w:rsid w:val="00A5229E"/>
    <w:rsid w:val="00A64228"/>
    <w:rsid w:val="00A807D4"/>
    <w:rsid w:val="00A85891"/>
    <w:rsid w:val="00B12130"/>
    <w:rsid w:val="00B23005"/>
    <w:rsid w:val="00B3652D"/>
    <w:rsid w:val="00B52186"/>
    <w:rsid w:val="00B53513"/>
    <w:rsid w:val="00B93AC4"/>
    <w:rsid w:val="00BA6580"/>
    <w:rsid w:val="00BD13E0"/>
    <w:rsid w:val="00BF32B5"/>
    <w:rsid w:val="00C23960"/>
    <w:rsid w:val="00C920B4"/>
    <w:rsid w:val="00CA76D7"/>
    <w:rsid w:val="00CD09D1"/>
    <w:rsid w:val="00CD5035"/>
    <w:rsid w:val="00CE1F40"/>
    <w:rsid w:val="00CE2D68"/>
    <w:rsid w:val="00CF64B1"/>
    <w:rsid w:val="00D40A01"/>
    <w:rsid w:val="00D470FB"/>
    <w:rsid w:val="00D76D97"/>
    <w:rsid w:val="00D86391"/>
    <w:rsid w:val="00D97C4F"/>
    <w:rsid w:val="00DA550F"/>
    <w:rsid w:val="00DB2F17"/>
    <w:rsid w:val="00DB4F0E"/>
    <w:rsid w:val="00DC12D1"/>
    <w:rsid w:val="00DC47C3"/>
    <w:rsid w:val="00DE3B75"/>
    <w:rsid w:val="00DE56E1"/>
    <w:rsid w:val="00E139DB"/>
    <w:rsid w:val="00E15311"/>
    <w:rsid w:val="00E17589"/>
    <w:rsid w:val="00E43313"/>
    <w:rsid w:val="00E56B78"/>
    <w:rsid w:val="00E71F56"/>
    <w:rsid w:val="00E94AC2"/>
    <w:rsid w:val="00EB429D"/>
    <w:rsid w:val="00EB5BAD"/>
    <w:rsid w:val="00ED32DC"/>
    <w:rsid w:val="00EF0909"/>
    <w:rsid w:val="00F02851"/>
    <w:rsid w:val="00F02E3E"/>
    <w:rsid w:val="00F2285D"/>
    <w:rsid w:val="00F2561B"/>
    <w:rsid w:val="00F62DB6"/>
    <w:rsid w:val="00FD4632"/>
    <w:rsid w:val="00FF0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9EC5"/>
  <w15:docId w15:val="{22AD16BE-4C7B-41EC-B5A5-14BC7387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5D"/>
    <w:pPr>
      <w:spacing w:after="4" w:line="250" w:lineRule="auto"/>
      <w:ind w:left="10"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94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umbria.ac.uk/media/university-of-cumbria-website/style-assets/landing-pages/strategic-plan/uoc-strategic-plan-2017-2020.pdf" TargetMode="External"/><Relationship Id="rId4" Type="http://schemas.openxmlformats.org/officeDocument/2006/relationships/numbering" Target="numbering.xml"/><Relationship Id="rId9" Type="http://schemas.openxmlformats.org/officeDocument/2006/relationships/hyperlink" Target="https://www.cumbria.ac.uk/media/university-of-cumbria-website/style-assets/landing-pages/strategic-plan/uoc-strategic-plan-2017-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3D83D9945084695099582D620065D" ma:contentTypeVersion="13" ma:contentTypeDescription="Create a new document." ma:contentTypeScope="" ma:versionID="9dbc162461bc33c2a294606e3df04d29">
  <xsd:schema xmlns:xsd="http://www.w3.org/2001/XMLSchema" xmlns:xs="http://www.w3.org/2001/XMLSchema" xmlns:p="http://schemas.microsoft.com/office/2006/metadata/properties" xmlns:ns3="f7ff8a16-b399-43f4-953f-016e0076bcd0" xmlns:ns4="2dfad247-a22d-4f07-9f17-244910a44fea" targetNamespace="http://schemas.microsoft.com/office/2006/metadata/properties" ma:root="true" ma:fieldsID="4e15553a256a5da03f5fe366894ffaa9" ns3:_="" ns4:_="">
    <xsd:import namespace="f7ff8a16-b399-43f4-953f-016e0076bcd0"/>
    <xsd:import namespace="2dfad247-a22d-4f07-9f17-244910a44f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f8a16-b399-43f4-953f-016e0076bc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ad247-a22d-4f07-9f17-244910a44f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509E3-7B72-42FB-934E-49F85B04D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f8a16-b399-43f4-953f-016e0076bcd0"/>
    <ds:schemaRef ds:uri="2dfad247-a22d-4f07-9f17-244910a44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2DA45-9D6C-4F97-BC78-380E640BE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7CDD5-A041-4228-A8BD-BFB758213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Crankshaw, Lisa</dc:creator>
  <cp:keywords/>
  <cp:lastModifiedBy>Hajra, Nawal</cp:lastModifiedBy>
  <cp:revision>2</cp:revision>
  <dcterms:created xsi:type="dcterms:W3CDTF">2023-11-16T15:11:00Z</dcterms:created>
  <dcterms:modified xsi:type="dcterms:W3CDTF">2023-11-16T15:11:00Z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0x0101000F43D83D9945084695099582D620065D</vt:lpwstr>
  </property>
</Properties>
</file>